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FC6052" w:rsidRDefault="006B4BD6" w:rsidP="006424E1">
      <w:pPr>
        <w:widowControl w:val="0"/>
        <w:jc w:val="center"/>
        <w:rPr>
          <w:b/>
          <w:bCs/>
          <w:sz w:val="26"/>
          <w:szCs w:val="26"/>
        </w:rPr>
      </w:pPr>
      <w:r w:rsidRPr="00FC6052">
        <w:rPr>
          <w:b/>
          <w:sz w:val="26"/>
          <w:lang w:bidi="en-US"/>
        </w:rPr>
        <w:t>Notice of Essential Fact</w:t>
      </w:r>
    </w:p>
    <w:p w:rsidR="006B4BD6" w:rsidRPr="00FC6052" w:rsidRDefault="006B4BD6" w:rsidP="006424E1">
      <w:pPr>
        <w:widowControl w:val="0"/>
        <w:jc w:val="center"/>
        <w:rPr>
          <w:b/>
          <w:bCs/>
          <w:sz w:val="26"/>
          <w:szCs w:val="26"/>
        </w:rPr>
      </w:pPr>
      <w:r w:rsidRPr="00FC6052">
        <w:rPr>
          <w:b/>
          <w:sz w:val="26"/>
          <w:lang w:bidi="en-US"/>
        </w:rPr>
        <w:t xml:space="preserve">“Information on Certain Decisions Taken by the Board of Directors of the Issuer” </w:t>
      </w:r>
    </w:p>
    <w:p w:rsidR="006F1D60" w:rsidRPr="00FC6052" w:rsidRDefault="006B4BD6" w:rsidP="006424E1">
      <w:pPr>
        <w:widowControl w:val="0"/>
        <w:jc w:val="center"/>
        <w:rPr>
          <w:b/>
          <w:bCs/>
          <w:sz w:val="26"/>
          <w:szCs w:val="26"/>
        </w:rPr>
      </w:pPr>
      <w:r w:rsidRPr="00FC6052">
        <w:rPr>
          <w:b/>
          <w:sz w:val="26"/>
          <w:lang w:bidi="en-US"/>
        </w:rPr>
        <w:t>(Insider Information Disclosure)</w:t>
      </w:r>
    </w:p>
    <w:p w:rsidR="006B4BD6" w:rsidRPr="00FC6052"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FC6052" w:rsidTr="00FE6E08">
        <w:trPr>
          <w:trHeight w:val="20"/>
          <w:jc w:val="center"/>
        </w:trPr>
        <w:tc>
          <w:tcPr>
            <w:tcW w:w="10485" w:type="dxa"/>
            <w:gridSpan w:val="4"/>
            <w:vAlign w:val="center"/>
          </w:tcPr>
          <w:p w:rsidR="00137C8F" w:rsidRPr="00FC6052" w:rsidRDefault="00137C8F" w:rsidP="006424E1">
            <w:pPr>
              <w:widowControl w:val="0"/>
              <w:autoSpaceDE/>
              <w:autoSpaceDN/>
              <w:spacing w:after="60"/>
              <w:jc w:val="center"/>
              <w:rPr>
                <w:sz w:val="26"/>
                <w:szCs w:val="26"/>
              </w:rPr>
            </w:pPr>
            <w:r w:rsidRPr="00FC6052">
              <w:rPr>
                <w:sz w:val="26"/>
                <w:lang w:bidi="en-US"/>
              </w:rPr>
              <w:t>1. General data</w:t>
            </w:r>
          </w:p>
        </w:tc>
      </w:tr>
      <w:tr w:rsidR="00137C8F" w:rsidRPr="00FC6052" w:rsidTr="002A41E5">
        <w:trPr>
          <w:trHeight w:val="20"/>
          <w:jc w:val="center"/>
        </w:trPr>
        <w:tc>
          <w:tcPr>
            <w:tcW w:w="5240" w:type="dxa"/>
            <w:vAlign w:val="center"/>
          </w:tcPr>
          <w:p w:rsidR="00137C8F" w:rsidRPr="00FC6052" w:rsidRDefault="00137C8F" w:rsidP="006424E1">
            <w:pPr>
              <w:widowControl w:val="0"/>
              <w:ind w:left="57"/>
              <w:rPr>
                <w:sz w:val="26"/>
                <w:szCs w:val="26"/>
              </w:rPr>
            </w:pPr>
            <w:r w:rsidRPr="00FC6052">
              <w:rPr>
                <w:sz w:val="26"/>
                <w:lang w:bidi="en-US"/>
              </w:rPr>
              <w:t>1.1. Issuer's full business name</w:t>
            </w:r>
          </w:p>
        </w:tc>
        <w:tc>
          <w:tcPr>
            <w:tcW w:w="5245" w:type="dxa"/>
            <w:gridSpan w:val="3"/>
          </w:tcPr>
          <w:p w:rsidR="00137C8F" w:rsidRPr="00FC6052" w:rsidRDefault="00137C8F" w:rsidP="006424E1">
            <w:pPr>
              <w:widowControl w:val="0"/>
              <w:ind w:left="57"/>
              <w:rPr>
                <w:sz w:val="26"/>
                <w:szCs w:val="26"/>
              </w:rPr>
            </w:pPr>
            <w:r w:rsidRPr="00FC6052">
              <w:rPr>
                <w:sz w:val="26"/>
                <w:lang w:bidi="en-US"/>
              </w:rPr>
              <w:t>Interregional Distribution Grid Company of North-West</w:t>
            </w:r>
            <w:r w:rsidR="00FC6052">
              <w:rPr>
                <w:sz w:val="26"/>
                <w:lang w:bidi="en-US"/>
              </w:rPr>
              <w:t>,</w:t>
            </w:r>
            <w:r w:rsidRPr="00FC6052">
              <w:rPr>
                <w:sz w:val="26"/>
                <w:lang w:bidi="en-US"/>
              </w:rPr>
              <w:t xml:space="preserve"> Public Joint Stock Company</w:t>
            </w:r>
          </w:p>
        </w:tc>
      </w:tr>
      <w:tr w:rsidR="00137C8F" w:rsidRPr="00FC6052" w:rsidTr="002A41E5">
        <w:trPr>
          <w:trHeight w:val="20"/>
          <w:jc w:val="center"/>
        </w:trPr>
        <w:tc>
          <w:tcPr>
            <w:tcW w:w="5240" w:type="dxa"/>
            <w:vAlign w:val="center"/>
          </w:tcPr>
          <w:p w:rsidR="00137C8F" w:rsidRPr="00FC6052" w:rsidRDefault="00137C8F" w:rsidP="006424E1">
            <w:pPr>
              <w:widowControl w:val="0"/>
              <w:ind w:left="57"/>
              <w:rPr>
                <w:sz w:val="26"/>
                <w:szCs w:val="26"/>
              </w:rPr>
            </w:pPr>
            <w:r w:rsidRPr="00FC6052">
              <w:rPr>
                <w:sz w:val="26"/>
                <w:lang w:bidi="en-US"/>
              </w:rPr>
              <w:t>1.2. Issuer’s abbreviated business name</w:t>
            </w:r>
          </w:p>
        </w:tc>
        <w:tc>
          <w:tcPr>
            <w:tcW w:w="5245" w:type="dxa"/>
            <w:gridSpan w:val="3"/>
            <w:vAlign w:val="center"/>
          </w:tcPr>
          <w:p w:rsidR="00137C8F" w:rsidRPr="00FC6052" w:rsidRDefault="00137C8F" w:rsidP="006424E1">
            <w:pPr>
              <w:widowControl w:val="0"/>
              <w:ind w:left="57"/>
              <w:rPr>
                <w:sz w:val="26"/>
                <w:szCs w:val="26"/>
              </w:rPr>
            </w:pPr>
            <w:r w:rsidRPr="00FC6052">
              <w:rPr>
                <w:sz w:val="26"/>
                <w:lang w:bidi="en-US"/>
              </w:rPr>
              <w:t>IDGC of North-West, PJSC</w:t>
            </w:r>
          </w:p>
        </w:tc>
      </w:tr>
      <w:tr w:rsidR="00137C8F" w:rsidRPr="00FC6052" w:rsidTr="002A41E5">
        <w:trPr>
          <w:trHeight w:val="20"/>
          <w:jc w:val="center"/>
        </w:trPr>
        <w:tc>
          <w:tcPr>
            <w:tcW w:w="5240" w:type="dxa"/>
            <w:vAlign w:val="center"/>
          </w:tcPr>
          <w:p w:rsidR="00137C8F" w:rsidRPr="00FC6052" w:rsidRDefault="00137C8F" w:rsidP="006424E1">
            <w:pPr>
              <w:widowControl w:val="0"/>
              <w:ind w:left="57"/>
              <w:rPr>
                <w:sz w:val="26"/>
                <w:szCs w:val="26"/>
              </w:rPr>
            </w:pPr>
            <w:r w:rsidRPr="00FC6052">
              <w:rPr>
                <w:sz w:val="26"/>
                <w:lang w:bidi="en-US"/>
              </w:rPr>
              <w:t>1.3. Issuer’s place of business</w:t>
            </w:r>
          </w:p>
        </w:tc>
        <w:tc>
          <w:tcPr>
            <w:tcW w:w="5245" w:type="dxa"/>
            <w:gridSpan w:val="3"/>
          </w:tcPr>
          <w:p w:rsidR="00DA715F" w:rsidRPr="00FC6052" w:rsidRDefault="00DA715F" w:rsidP="006424E1">
            <w:pPr>
              <w:widowControl w:val="0"/>
              <w:ind w:left="57" w:right="57"/>
              <w:rPr>
                <w:sz w:val="26"/>
                <w:szCs w:val="26"/>
              </w:rPr>
            </w:pPr>
            <w:r w:rsidRPr="00FC6052">
              <w:rPr>
                <w:sz w:val="26"/>
                <w:lang w:bidi="en-US"/>
              </w:rPr>
              <w:t xml:space="preserve">Saint Petersburg, Russia </w:t>
            </w:r>
          </w:p>
          <w:p w:rsidR="00137C8F" w:rsidRPr="00FC6052" w:rsidRDefault="00137C8F" w:rsidP="000B6AB6">
            <w:pPr>
              <w:widowControl w:val="0"/>
              <w:rPr>
                <w:sz w:val="26"/>
                <w:szCs w:val="26"/>
              </w:rPr>
            </w:pPr>
          </w:p>
        </w:tc>
      </w:tr>
      <w:tr w:rsidR="00137C8F" w:rsidRPr="00FC6052" w:rsidTr="002A41E5">
        <w:trPr>
          <w:trHeight w:val="20"/>
          <w:jc w:val="center"/>
        </w:trPr>
        <w:tc>
          <w:tcPr>
            <w:tcW w:w="5240" w:type="dxa"/>
          </w:tcPr>
          <w:p w:rsidR="00137C8F" w:rsidRPr="00FC6052" w:rsidRDefault="00137C8F" w:rsidP="006424E1">
            <w:pPr>
              <w:widowControl w:val="0"/>
              <w:spacing w:before="40" w:after="40"/>
              <w:ind w:left="57"/>
              <w:rPr>
                <w:sz w:val="26"/>
                <w:szCs w:val="26"/>
              </w:rPr>
            </w:pPr>
            <w:r w:rsidRPr="00FC6052">
              <w:rPr>
                <w:sz w:val="26"/>
                <w:lang w:bidi="en-US"/>
              </w:rPr>
              <w:t>1.4. Issuer’s OGRN (Primary State Registration Number)</w:t>
            </w:r>
          </w:p>
        </w:tc>
        <w:tc>
          <w:tcPr>
            <w:tcW w:w="5245" w:type="dxa"/>
            <w:gridSpan w:val="3"/>
          </w:tcPr>
          <w:p w:rsidR="00137C8F" w:rsidRPr="00FC6052" w:rsidRDefault="00137C8F" w:rsidP="006424E1">
            <w:pPr>
              <w:widowControl w:val="0"/>
              <w:spacing w:before="40" w:after="40"/>
              <w:ind w:left="57"/>
              <w:rPr>
                <w:sz w:val="26"/>
                <w:szCs w:val="26"/>
              </w:rPr>
            </w:pPr>
            <w:r w:rsidRPr="00FC6052">
              <w:rPr>
                <w:sz w:val="26"/>
                <w:lang w:bidi="en-US"/>
              </w:rPr>
              <w:t>1047855175785</w:t>
            </w:r>
          </w:p>
        </w:tc>
      </w:tr>
      <w:tr w:rsidR="00137C8F" w:rsidRPr="00FC6052" w:rsidTr="002A41E5">
        <w:trPr>
          <w:trHeight w:val="20"/>
          <w:jc w:val="center"/>
        </w:trPr>
        <w:tc>
          <w:tcPr>
            <w:tcW w:w="5240" w:type="dxa"/>
          </w:tcPr>
          <w:p w:rsidR="00137C8F" w:rsidRPr="00FC6052" w:rsidRDefault="00137C8F" w:rsidP="006424E1">
            <w:pPr>
              <w:widowControl w:val="0"/>
              <w:spacing w:before="40" w:after="40"/>
              <w:ind w:left="57"/>
              <w:rPr>
                <w:sz w:val="26"/>
                <w:szCs w:val="26"/>
              </w:rPr>
            </w:pPr>
            <w:r w:rsidRPr="00FC6052">
              <w:rPr>
                <w:sz w:val="26"/>
                <w:lang w:bidi="en-US"/>
              </w:rPr>
              <w:t>1.5. Issuer’s INN (Taxpayer Identification Number)</w:t>
            </w:r>
          </w:p>
        </w:tc>
        <w:tc>
          <w:tcPr>
            <w:tcW w:w="5245" w:type="dxa"/>
            <w:gridSpan w:val="3"/>
          </w:tcPr>
          <w:p w:rsidR="00137C8F" w:rsidRPr="00FC6052" w:rsidRDefault="00137C8F" w:rsidP="008E51CC">
            <w:pPr>
              <w:widowControl w:val="0"/>
              <w:spacing w:before="40" w:after="40"/>
              <w:ind w:left="57"/>
              <w:rPr>
                <w:sz w:val="26"/>
                <w:szCs w:val="26"/>
              </w:rPr>
            </w:pPr>
            <w:r w:rsidRPr="00FC6052">
              <w:rPr>
                <w:sz w:val="26"/>
                <w:lang w:bidi="en-US"/>
              </w:rPr>
              <w:t>7802312751</w:t>
            </w:r>
          </w:p>
        </w:tc>
      </w:tr>
      <w:tr w:rsidR="00137C8F" w:rsidRPr="00FC6052" w:rsidTr="002A41E5">
        <w:trPr>
          <w:trHeight w:val="644"/>
          <w:jc w:val="center"/>
        </w:trPr>
        <w:tc>
          <w:tcPr>
            <w:tcW w:w="5240" w:type="dxa"/>
          </w:tcPr>
          <w:p w:rsidR="00137C8F" w:rsidRPr="00FC6052" w:rsidRDefault="00137C8F" w:rsidP="006424E1">
            <w:pPr>
              <w:widowControl w:val="0"/>
              <w:ind w:left="57"/>
              <w:rPr>
                <w:sz w:val="26"/>
                <w:szCs w:val="26"/>
              </w:rPr>
            </w:pPr>
            <w:r w:rsidRPr="00FC6052">
              <w:rPr>
                <w:sz w:val="26"/>
                <w:lang w:bidi="en-US"/>
              </w:rPr>
              <w:t>1.6. Issuer’s unique code assigned by the registration body</w:t>
            </w:r>
          </w:p>
        </w:tc>
        <w:tc>
          <w:tcPr>
            <w:tcW w:w="5245" w:type="dxa"/>
            <w:gridSpan w:val="3"/>
            <w:vAlign w:val="center"/>
          </w:tcPr>
          <w:p w:rsidR="00137C8F" w:rsidRPr="00FC6052" w:rsidRDefault="00137C8F" w:rsidP="006424E1">
            <w:pPr>
              <w:widowControl w:val="0"/>
              <w:ind w:left="57"/>
              <w:rPr>
                <w:sz w:val="26"/>
                <w:szCs w:val="26"/>
              </w:rPr>
            </w:pPr>
            <w:r w:rsidRPr="00FC6052">
              <w:rPr>
                <w:sz w:val="26"/>
                <w:lang w:bidi="en-US"/>
              </w:rPr>
              <w:t>03347-D</w:t>
            </w:r>
          </w:p>
        </w:tc>
      </w:tr>
      <w:tr w:rsidR="00137C8F" w:rsidRPr="00FC6052" w:rsidTr="002A41E5">
        <w:trPr>
          <w:trHeight w:val="20"/>
          <w:jc w:val="center"/>
        </w:trPr>
        <w:tc>
          <w:tcPr>
            <w:tcW w:w="5240" w:type="dxa"/>
          </w:tcPr>
          <w:p w:rsidR="00D53E09" w:rsidRPr="00FC6052" w:rsidRDefault="00137C8F" w:rsidP="006424E1">
            <w:pPr>
              <w:widowControl w:val="0"/>
              <w:ind w:left="57"/>
              <w:rPr>
                <w:sz w:val="26"/>
                <w:szCs w:val="26"/>
              </w:rPr>
            </w:pPr>
            <w:r w:rsidRPr="00FC6052">
              <w:rPr>
                <w:sz w:val="26"/>
                <w:lang w:bidi="en-US"/>
              </w:rPr>
              <w:t>1.7. Web page address used by the Issuer for information disclosure</w:t>
            </w:r>
          </w:p>
        </w:tc>
        <w:tc>
          <w:tcPr>
            <w:tcW w:w="5245" w:type="dxa"/>
            <w:gridSpan w:val="3"/>
          </w:tcPr>
          <w:p w:rsidR="00FC317A" w:rsidRPr="00FC6052" w:rsidRDefault="00E66FA2" w:rsidP="00FC317A">
            <w:pPr>
              <w:widowControl w:val="0"/>
              <w:ind w:left="57"/>
              <w:rPr>
                <w:b/>
                <w:i/>
                <w:color w:val="0033CC"/>
                <w:sz w:val="26"/>
                <w:szCs w:val="26"/>
              </w:rPr>
            </w:pPr>
            <w:hyperlink r:id="rId8" w:history="1">
              <w:r w:rsidR="00FC317A" w:rsidRPr="00FC6052">
                <w:rPr>
                  <w:rStyle w:val="ab"/>
                  <w:b/>
                  <w:i/>
                  <w:color w:val="0033CC"/>
                  <w:sz w:val="26"/>
                  <w:lang w:bidi="en-US"/>
                </w:rPr>
                <w:t>http://www.e-disclosure.ru/portal/company.aspx?id=12761</w:t>
              </w:r>
            </w:hyperlink>
            <w:r w:rsidR="00270F37" w:rsidRPr="00FC6052">
              <w:rPr>
                <w:b/>
                <w:i/>
                <w:color w:val="0033CC"/>
                <w:sz w:val="26"/>
                <w:lang w:bidi="en-US"/>
              </w:rPr>
              <w:t>,</w:t>
            </w:r>
          </w:p>
          <w:p w:rsidR="00FC317A" w:rsidRPr="00FC6052" w:rsidRDefault="00E66FA2" w:rsidP="00FC317A">
            <w:pPr>
              <w:widowControl w:val="0"/>
              <w:ind w:left="57"/>
              <w:rPr>
                <w:b/>
                <w:i/>
                <w:color w:val="0033CC"/>
                <w:sz w:val="26"/>
                <w:szCs w:val="26"/>
              </w:rPr>
            </w:pPr>
            <w:hyperlink r:id="rId9" w:history="1">
              <w:r w:rsidR="00FC317A" w:rsidRPr="00FC6052">
                <w:rPr>
                  <w:rStyle w:val="ab"/>
                  <w:b/>
                  <w:i/>
                  <w:color w:val="0033CC"/>
                  <w:sz w:val="26"/>
                  <w:lang w:bidi="en-US"/>
                </w:rPr>
                <w:t>http://www.mrsksevzap.ru</w:t>
              </w:r>
            </w:hyperlink>
          </w:p>
          <w:p w:rsidR="00057715" w:rsidRPr="00FC6052" w:rsidRDefault="00057715" w:rsidP="006424E1">
            <w:pPr>
              <w:widowControl w:val="0"/>
              <w:ind w:left="57"/>
              <w:rPr>
                <w:sz w:val="26"/>
                <w:szCs w:val="26"/>
              </w:rPr>
            </w:pPr>
          </w:p>
        </w:tc>
      </w:tr>
      <w:tr w:rsidR="00D02937" w:rsidRPr="00FC6052" w:rsidTr="002A41E5">
        <w:trPr>
          <w:trHeight w:val="20"/>
          <w:jc w:val="center"/>
        </w:trPr>
        <w:tc>
          <w:tcPr>
            <w:tcW w:w="5240" w:type="dxa"/>
          </w:tcPr>
          <w:p w:rsidR="00D02937" w:rsidRPr="00FC6052" w:rsidRDefault="00FC42D6" w:rsidP="006424E1">
            <w:pPr>
              <w:widowControl w:val="0"/>
              <w:ind w:left="57"/>
              <w:rPr>
                <w:sz w:val="26"/>
                <w:szCs w:val="26"/>
              </w:rPr>
            </w:pPr>
            <w:r w:rsidRPr="00FC6052">
              <w:rPr>
                <w:sz w:val="26"/>
                <w:lang w:bidi="en-US"/>
              </w:rPr>
              <w:t>1.8. Date of occurrence of the event (essential fact)</w:t>
            </w:r>
            <w:r w:rsidR="00FC6052">
              <w:rPr>
                <w:sz w:val="26"/>
                <w:lang w:bidi="en-US"/>
              </w:rPr>
              <w:t xml:space="preserve"> </w:t>
            </w:r>
            <w:r w:rsidRPr="00FC6052">
              <w:rPr>
                <w:sz w:val="26"/>
                <w:lang w:bidi="en-US"/>
              </w:rPr>
              <w:t xml:space="preserve">about which the notice is drawn up (if applicable) </w:t>
            </w:r>
          </w:p>
        </w:tc>
        <w:tc>
          <w:tcPr>
            <w:tcW w:w="5245" w:type="dxa"/>
            <w:gridSpan w:val="3"/>
          </w:tcPr>
          <w:p w:rsidR="00D02937" w:rsidRPr="00FC6052" w:rsidRDefault="0008546C" w:rsidP="006424E1">
            <w:pPr>
              <w:widowControl w:val="0"/>
              <w:ind w:left="57"/>
              <w:rPr>
                <w:b/>
                <w:sz w:val="26"/>
                <w:szCs w:val="26"/>
              </w:rPr>
            </w:pPr>
            <w:r w:rsidRPr="00FC6052">
              <w:rPr>
                <w:b/>
                <w:sz w:val="26"/>
                <w:lang w:bidi="en-US"/>
              </w:rPr>
              <w:t xml:space="preserve">December </w:t>
            </w:r>
            <w:r w:rsidRPr="00FC6052">
              <w:rPr>
                <w:b/>
                <w:color w:val="FF0000"/>
                <w:sz w:val="26"/>
                <w:lang w:bidi="en-US"/>
              </w:rPr>
              <w:t>22</w:t>
            </w:r>
            <w:r w:rsidR="00FC6052">
              <w:rPr>
                <w:b/>
                <w:sz w:val="26"/>
                <w:lang w:bidi="en-US"/>
              </w:rPr>
              <w:t>, 2020</w:t>
            </w:r>
          </w:p>
        </w:tc>
      </w:tr>
      <w:tr w:rsidR="00137C8F" w:rsidRPr="00FC6052"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FC6052" w:rsidRDefault="00137C8F" w:rsidP="006424E1">
            <w:pPr>
              <w:widowControl w:val="0"/>
              <w:autoSpaceDE/>
              <w:autoSpaceDN/>
              <w:spacing w:after="60"/>
              <w:jc w:val="center"/>
              <w:rPr>
                <w:sz w:val="26"/>
                <w:szCs w:val="26"/>
              </w:rPr>
            </w:pPr>
            <w:r w:rsidRPr="00FC6052">
              <w:rPr>
                <w:sz w:val="26"/>
                <w:lang w:bidi="en-US"/>
              </w:rPr>
              <w:t>2. Content of the Notice</w:t>
            </w:r>
          </w:p>
        </w:tc>
      </w:tr>
      <w:tr w:rsidR="00137C8F" w:rsidRPr="00FC6052"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FC6052" w:rsidRDefault="00D652A0" w:rsidP="006424E1">
            <w:pPr>
              <w:widowControl w:val="0"/>
              <w:autoSpaceDE/>
              <w:autoSpaceDN/>
              <w:ind w:left="112" w:right="252"/>
              <w:contextualSpacing/>
              <w:jc w:val="both"/>
              <w:rPr>
                <w:sz w:val="26"/>
                <w:szCs w:val="26"/>
              </w:rPr>
            </w:pPr>
            <w:r w:rsidRPr="00FC6052">
              <w:rPr>
                <w:sz w:val="26"/>
                <w:lang w:bidi="en-US"/>
              </w:rPr>
              <w:t xml:space="preserve">2.1. Quorum of the meeting of the Board of Directors of the Issuer, and results of voting on decision-making issues: </w:t>
            </w:r>
          </w:p>
          <w:p w:rsidR="00424501" w:rsidRPr="00FC6052" w:rsidRDefault="00424501" w:rsidP="006424E1">
            <w:pPr>
              <w:widowControl w:val="0"/>
              <w:autoSpaceDE/>
              <w:autoSpaceDN/>
              <w:ind w:left="112" w:right="252"/>
              <w:contextualSpacing/>
              <w:jc w:val="both"/>
              <w:rPr>
                <w:sz w:val="26"/>
                <w:szCs w:val="26"/>
              </w:rPr>
            </w:pPr>
            <w:r w:rsidRPr="00FC6052">
              <w:rPr>
                <w:sz w:val="26"/>
                <w:lang w:bidi="en-US"/>
              </w:rPr>
              <w:t xml:space="preserve">The quorum of the meeting of the Board of Directors: </w:t>
            </w:r>
            <w:proofErr w:type="gramStart"/>
            <w:r w:rsidRPr="00FC6052">
              <w:rPr>
                <w:sz w:val="26"/>
                <w:lang w:bidi="en-US"/>
              </w:rPr>
              <w:t>11 out of the 11 members of the Board of Directors participated in the meeting</w:t>
            </w:r>
            <w:proofErr w:type="gramEnd"/>
            <w:r w:rsidRPr="00FC6052">
              <w:rPr>
                <w:sz w:val="26"/>
                <w:lang w:bidi="en-US"/>
              </w:rPr>
              <w:t xml:space="preserve">, </w:t>
            </w:r>
            <w:proofErr w:type="gramStart"/>
            <w:r w:rsidRPr="00FC6052">
              <w:rPr>
                <w:sz w:val="26"/>
                <w:lang w:bidi="en-US"/>
              </w:rPr>
              <w:t>the required quorum was present</w:t>
            </w:r>
            <w:proofErr w:type="gramEnd"/>
            <w:r w:rsidRPr="00FC6052">
              <w:rPr>
                <w:sz w:val="26"/>
                <w:lang w:bidi="en-US"/>
              </w:rPr>
              <w:t>.</w:t>
            </w:r>
          </w:p>
          <w:p w:rsidR="00424501" w:rsidRPr="00FC6052" w:rsidRDefault="00424501" w:rsidP="006424E1">
            <w:pPr>
              <w:widowControl w:val="0"/>
              <w:autoSpaceDE/>
              <w:autoSpaceDN/>
              <w:ind w:left="112" w:right="252"/>
              <w:contextualSpacing/>
              <w:jc w:val="both"/>
              <w:rPr>
                <w:sz w:val="26"/>
                <w:szCs w:val="26"/>
              </w:rPr>
            </w:pPr>
            <w:r w:rsidRPr="00FC6052">
              <w:rPr>
                <w:sz w:val="26"/>
                <w:lang w:bidi="en-US"/>
              </w:rPr>
              <w:t>Results of voting on the issues:</w:t>
            </w:r>
          </w:p>
          <w:p w:rsidR="00946CEA" w:rsidRPr="00FC6052" w:rsidRDefault="008467FD" w:rsidP="0088600A">
            <w:pPr>
              <w:widowControl w:val="0"/>
              <w:autoSpaceDE/>
              <w:autoSpaceDN/>
              <w:ind w:left="112" w:right="57"/>
              <w:contextualSpacing/>
              <w:jc w:val="both"/>
              <w:rPr>
                <w:sz w:val="26"/>
                <w:szCs w:val="26"/>
              </w:rPr>
            </w:pPr>
            <w:r w:rsidRPr="00FC6052">
              <w:rPr>
                <w:b/>
                <w:sz w:val="26"/>
                <w:lang w:bidi="en-US"/>
              </w:rPr>
              <w:t>ISSUE No. 1:</w:t>
            </w:r>
          </w:p>
          <w:p w:rsidR="00E01F80" w:rsidRPr="00FC6052" w:rsidRDefault="00B031E7" w:rsidP="00E01F80">
            <w:pPr>
              <w:widowControl w:val="0"/>
              <w:autoSpaceDE/>
              <w:autoSpaceDN/>
              <w:ind w:left="112" w:right="114"/>
              <w:contextualSpacing/>
              <w:jc w:val="both"/>
              <w:rPr>
                <w:sz w:val="26"/>
                <w:szCs w:val="26"/>
              </w:rPr>
            </w:pPr>
            <w:r w:rsidRPr="00FC6052">
              <w:rPr>
                <w:sz w:val="26"/>
                <w:lang w:bidi="en-US"/>
              </w:rPr>
              <w:t xml:space="preserve">Item </w:t>
            </w:r>
            <w:r w:rsidR="00FC6052">
              <w:rPr>
                <w:sz w:val="26"/>
                <w:lang w:bidi="en-US"/>
              </w:rPr>
              <w:t xml:space="preserve">No. </w:t>
            </w:r>
            <w:r w:rsidRPr="00FC6052">
              <w:rPr>
                <w:sz w:val="26"/>
                <w:lang w:bidi="en-US"/>
              </w:rPr>
              <w:t>1: FOR – 11, AGAINST – 0, ABSTAINED – 0;</w:t>
            </w:r>
          </w:p>
          <w:p w:rsidR="00E01F80" w:rsidRPr="00FC6052" w:rsidRDefault="00B031E7" w:rsidP="00E01F80">
            <w:pPr>
              <w:widowControl w:val="0"/>
              <w:autoSpaceDE/>
              <w:autoSpaceDN/>
              <w:ind w:left="112" w:right="114"/>
              <w:contextualSpacing/>
              <w:jc w:val="both"/>
              <w:rPr>
                <w:sz w:val="26"/>
                <w:szCs w:val="26"/>
              </w:rPr>
            </w:pPr>
            <w:r w:rsidRPr="00FC6052">
              <w:rPr>
                <w:sz w:val="26"/>
                <w:lang w:bidi="en-US"/>
              </w:rPr>
              <w:t>Item No.2: FOR – 11, AGAINST – 0, ABSTAINED – 0;</w:t>
            </w:r>
          </w:p>
          <w:p w:rsidR="00B031E7" w:rsidRPr="00FC6052" w:rsidRDefault="00B031E7" w:rsidP="00B031E7">
            <w:pPr>
              <w:widowControl w:val="0"/>
              <w:autoSpaceDE/>
              <w:autoSpaceDN/>
              <w:ind w:left="112" w:right="114"/>
              <w:contextualSpacing/>
              <w:jc w:val="both"/>
              <w:rPr>
                <w:sz w:val="26"/>
                <w:szCs w:val="26"/>
              </w:rPr>
            </w:pPr>
            <w:r w:rsidRPr="00FC6052">
              <w:rPr>
                <w:sz w:val="26"/>
                <w:lang w:bidi="en-US"/>
              </w:rPr>
              <w:t>Item No.3: FOR – 11, AGAINST – 0, ABSTAINED – 0;</w:t>
            </w:r>
          </w:p>
          <w:p w:rsidR="00B031E7" w:rsidRPr="00FC6052" w:rsidRDefault="00B031E7" w:rsidP="00B031E7">
            <w:pPr>
              <w:widowControl w:val="0"/>
              <w:autoSpaceDE/>
              <w:autoSpaceDN/>
              <w:ind w:left="112" w:right="114"/>
              <w:contextualSpacing/>
              <w:jc w:val="both"/>
              <w:rPr>
                <w:sz w:val="26"/>
                <w:szCs w:val="26"/>
              </w:rPr>
            </w:pPr>
            <w:r w:rsidRPr="00FC6052">
              <w:rPr>
                <w:sz w:val="26"/>
                <w:lang w:bidi="en-US"/>
              </w:rPr>
              <w:t>Item No.4: FOR – 11, AGAINST – 0, ABSTAINED – 0;</w:t>
            </w:r>
          </w:p>
          <w:p w:rsidR="00B031E7" w:rsidRPr="00FC6052" w:rsidRDefault="00B031E7" w:rsidP="00B031E7">
            <w:pPr>
              <w:widowControl w:val="0"/>
              <w:autoSpaceDE/>
              <w:autoSpaceDN/>
              <w:ind w:left="112" w:right="114"/>
              <w:contextualSpacing/>
              <w:jc w:val="both"/>
              <w:rPr>
                <w:sz w:val="26"/>
                <w:szCs w:val="26"/>
              </w:rPr>
            </w:pPr>
            <w:r w:rsidRPr="00FC6052">
              <w:rPr>
                <w:sz w:val="26"/>
                <w:lang w:bidi="en-US"/>
              </w:rPr>
              <w:t>Item No.</w:t>
            </w:r>
            <w:r w:rsidR="00FC6052">
              <w:rPr>
                <w:sz w:val="26"/>
                <w:lang w:bidi="en-US"/>
              </w:rPr>
              <w:t xml:space="preserve"> </w:t>
            </w:r>
            <w:r w:rsidRPr="00FC6052">
              <w:rPr>
                <w:sz w:val="26"/>
                <w:lang w:bidi="en-US"/>
              </w:rPr>
              <w:t>5: FOR – 11, AGAINST – 0, ABSTAINED – 0;</w:t>
            </w:r>
          </w:p>
          <w:p w:rsidR="00C55004" w:rsidRPr="00FC6052" w:rsidRDefault="00BB44AD" w:rsidP="009D0003">
            <w:pPr>
              <w:widowControl w:val="0"/>
              <w:autoSpaceDE/>
              <w:autoSpaceDN/>
              <w:ind w:left="112" w:right="114"/>
              <w:contextualSpacing/>
              <w:jc w:val="both"/>
              <w:rPr>
                <w:sz w:val="26"/>
                <w:szCs w:val="26"/>
              </w:rPr>
            </w:pPr>
            <w:r w:rsidRPr="00FC6052">
              <w:rPr>
                <w:b/>
                <w:sz w:val="26"/>
                <w:lang w:bidi="en-US"/>
              </w:rPr>
              <w:t>ISSUE No. 2:</w:t>
            </w:r>
            <w:r w:rsidRPr="00FC6052">
              <w:rPr>
                <w:sz w:val="26"/>
                <w:lang w:bidi="en-US"/>
              </w:rPr>
              <w:t xml:space="preserve"> </w:t>
            </w:r>
          </w:p>
          <w:p w:rsidR="00C73CAE" w:rsidRPr="00FC6052" w:rsidRDefault="00C73CAE" w:rsidP="00C73CAE">
            <w:pPr>
              <w:widowControl w:val="0"/>
              <w:autoSpaceDE/>
              <w:autoSpaceDN/>
              <w:ind w:left="112" w:right="114"/>
              <w:contextualSpacing/>
              <w:jc w:val="both"/>
              <w:rPr>
                <w:sz w:val="26"/>
                <w:szCs w:val="26"/>
              </w:rPr>
            </w:pPr>
            <w:r w:rsidRPr="00FC6052">
              <w:rPr>
                <w:sz w:val="26"/>
                <w:lang w:bidi="en-US"/>
              </w:rPr>
              <w:t xml:space="preserve">Item </w:t>
            </w:r>
            <w:r w:rsidR="00FC6052">
              <w:rPr>
                <w:sz w:val="26"/>
                <w:lang w:bidi="en-US"/>
              </w:rPr>
              <w:t>No. 1</w:t>
            </w:r>
            <w:r w:rsidRPr="00FC6052">
              <w:rPr>
                <w:sz w:val="26"/>
                <w:lang w:bidi="en-US"/>
              </w:rPr>
              <w:t>: FOR – 11, AGAINST – 0, ABSTAINED – 0;</w:t>
            </w:r>
          </w:p>
          <w:p w:rsidR="00C73CAE" w:rsidRPr="00FC6052" w:rsidRDefault="00C73CAE" w:rsidP="00C73CAE">
            <w:pPr>
              <w:widowControl w:val="0"/>
              <w:autoSpaceDE/>
              <w:autoSpaceDN/>
              <w:ind w:left="112" w:right="114"/>
              <w:contextualSpacing/>
              <w:jc w:val="both"/>
              <w:rPr>
                <w:sz w:val="26"/>
                <w:szCs w:val="26"/>
              </w:rPr>
            </w:pPr>
            <w:r w:rsidRPr="00FC6052">
              <w:rPr>
                <w:sz w:val="26"/>
                <w:lang w:bidi="en-US"/>
              </w:rPr>
              <w:t>Item No.</w:t>
            </w:r>
            <w:r w:rsidR="00FC6052">
              <w:rPr>
                <w:sz w:val="26"/>
                <w:lang w:bidi="en-US"/>
              </w:rPr>
              <w:t xml:space="preserve"> </w:t>
            </w:r>
            <w:r w:rsidRPr="00FC6052">
              <w:rPr>
                <w:sz w:val="26"/>
                <w:lang w:bidi="en-US"/>
              </w:rPr>
              <w:t>2: FOR – 11, AGAINST – 0, ABSTAINED – 0;</w:t>
            </w:r>
          </w:p>
          <w:p w:rsidR="00D06C28" w:rsidRPr="00FC6052" w:rsidRDefault="000851B0" w:rsidP="00D06C28">
            <w:pPr>
              <w:widowControl w:val="0"/>
              <w:autoSpaceDE/>
              <w:autoSpaceDN/>
              <w:ind w:left="112" w:right="114"/>
              <w:contextualSpacing/>
              <w:jc w:val="both"/>
              <w:rPr>
                <w:sz w:val="26"/>
                <w:szCs w:val="26"/>
              </w:rPr>
            </w:pPr>
            <w:r w:rsidRPr="00FC6052">
              <w:rPr>
                <w:b/>
                <w:sz w:val="26"/>
                <w:lang w:bidi="en-US"/>
              </w:rPr>
              <w:t>ISSUE No. 3:</w:t>
            </w:r>
            <w:r w:rsidRPr="00FC6052">
              <w:rPr>
                <w:sz w:val="26"/>
                <w:lang w:bidi="en-US"/>
              </w:rPr>
              <w:t xml:space="preserve"> FOR – 10, AGAINST – 0, ABSTAINED – 1;</w:t>
            </w:r>
          </w:p>
          <w:p w:rsidR="006009CF" w:rsidRPr="00FC6052" w:rsidRDefault="006009CF" w:rsidP="006009CF">
            <w:pPr>
              <w:widowControl w:val="0"/>
              <w:autoSpaceDE/>
              <w:autoSpaceDN/>
              <w:ind w:left="112" w:right="114"/>
              <w:contextualSpacing/>
              <w:jc w:val="both"/>
              <w:rPr>
                <w:sz w:val="26"/>
                <w:szCs w:val="26"/>
              </w:rPr>
            </w:pPr>
            <w:r w:rsidRPr="00FC6052">
              <w:rPr>
                <w:b/>
                <w:sz w:val="26"/>
                <w:lang w:bidi="en-US"/>
              </w:rPr>
              <w:t>ISSUE No. 4:</w:t>
            </w:r>
            <w:r w:rsidRPr="00FC6052">
              <w:rPr>
                <w:sz w:val="26"/>
                <w:lang w:bidi="en-US"/>
              </w:rPr>
              <w:t xml:space="preserve"> FOR – 11, AGAINST – 0, ABSTAINED – 0;</w:t>
            </w:r>
          </w:p>
          <w:p w:rsidR="00F043CD" w:rsidRPr="00FC6052" w:rsidRDefault="00F043CD" w:rsidP="00F043CD">
            <w:pPr>
              <w:widowControl w:val="0"/>
              <w:autoSpaceDE/>
              <w:autoSpaceDN/>
              <w:ind w:left="112" w:right="114"/>
              <w:contextualSpacing/>
              <w:jc w:val="both"/>
              <w:rPr>
                <w:sz w:val="26"/>
                <w:szCs w:val="26"/>
              </w:rPr>
            </w:pPr>
            <w:r w:rsidRPr="00FC6052">
              <w:rPr>
                <w:b/>
                <w:sz w:val="26"/>
                <w:lang w:bidi="en-US"/>
              </w:rPr>
              <w:t>ISSUE No. 5:</w:t>
            </w:r>
            <w:r w:rsidRPr="00FC6052">
              <w:rPr>
                <w:sz w:val="26"/>
                <w:lang w:bidi="en-US"/>
              </w:rPr>
              <w:t xml:space="preserve"> FOR – 11, AGAINST – 0, ABSTAINED – 0;</w:t>
            </w:r>
          </w:p>
          <w:p w:rsidR="00F043CD" w:rsidRPr="00FC6052" w:rsidRDefault="00F043CD" w:rsidP="00F043CD">
            <w:pPr>
              <w:widowControl w:val="0"/>
              <w:autoSpaceDE/>
              <w:autoSpaceDN/>
              <w:ind w:left="112" w:right="114"/>
              <w:contextualSpacing/>
              <w:jc w:val="both"/>
              <w:rPr>
                <w:sz w:val="26"/>
                <w:szCs w:val="26"/>
              </w:rPr>
            </w:pPr>
            <w:r w:rsidRPr="00FC6052">
              <w:rPr>
                <w:b/>
                <w:sz w:val="26"/>
                <w:lang w:bidi="en-US"/>
              </w:rPr>
              <w:t>ISSUE No. 6:</w:t>
            </w:r>
            <w:r w:rsidRPr="00FC6052">
              <w:rPr>
                <w:sz w:val="26"/>
                <w:lang w:bidi="en-US"/>
              </w:rPr>
              <w:t xml:space="preserve"> FOR – 8, AGAINST – 0, ABSTAINED – 3.</w:t>
            </w:r>
          </w:p>
          <w:p w:rsidR="00F043CD" w:rsidRPr="00FC6052" w:rsidRDefault="00F043CD" w:rsidP="00F043CD">
            <w:pPr>
              <w:widowControl w:val="0"/>
              <w:autoSpaceDE/>
              <w:autoSpaceDN/>
              <w:ind w:left="112" w:right="114"/>
              <w:contextualSpacing/>
              <w:jc w:val="both"/>
              <w:rPr>
                <w:sz w:val="26"/>
                <w:szCs w:val="26"/>
              </w:rPr>
            </w:pPr>
          </w:p>
          <w:p w:rsidR="00424501" w:rsidRPr="00FC6052" w:rsidRDefault="00424501" w:rsidP="009B2182">
            <w:pPr>
              <w:widowControl w:val="0"/>
              <w:autoSpaceDE/>
              <w:autoSpaceDN/>
              <w:ind w:left="112" w:right="114"/>
              <w:contextualSpacing/>
              <w:jc w:val="both"/>
              <w:rPr>
                <w:sz w:val="26"/>
                <w:szCs w:val="26"/>
              </w:rPr>
            </w:pPr>
            <w:r w:rsidRPr="00FC6052">
              <w:rPr>
                <w:sz w:val="26"/>
                <w:lang w:bidi="en-US"/>
              </w:rPr>
              <w:t>2.2. Contents of resolutions approved by the Board of Directors of the Issuer:</w:t>
            </w:r>
          </w:p>
          <w:p w:rsidR="00422906" w:rsidRPr="00FC6052" w:rsidRDefault="001A42FD" w:rsidP="00DF408D">
            <w:pPr>
              <w:widowControl w:val="0"/>
              <w:autoSpaceDE/>
              <w:autoSpaceDN/>
              <w:ind w:left="112" w:right="114"/>
              <w:contextualSpacing/>
              <w:jc w:val="both"/>
              <w:rPr>
                <w:b/>
                <w:bCs/>
                <w:sz w:val="26"/>
                <w:szCs w:val="26"/>
              </w:rPr>
            </w:pPr>
            <w:r w:rsidRPr="00FC6052">
              <w:rPr>
                <w:b/>
                <w:sz w:val="26"/>
                <w:lang w:bidi="en-US"/>
              </w:rPr>
              <w:t xml:space="preserve">ISSUE No. 1: On approval of budgets of the Committees under the Board of Directors of the Company </w:t>
            </w:r>
          </w:p>
          <w:p w:rsidR="00752558" w:rsidRPr="00FC6052" w:rsidRDefault="00752558" w:rsidP="00752558">
            <w:pPr>
              <w:widowControl w:val="0"/>
              <w:autoSpaceDE/>
              <w:autoSpaceDN/>
              <w:ind w:left="112" w:right="114"/>
              <w:contextualSpacing/>
              <w:jc w:val="both"/>
              <w:rPr>
                <w:bCs/>
                <w:sz w:val="26"/>
                <w:szCs w:val="26"/>
              </w:rPr>
            </w:pPr>
            <w:r w:rsidRPr="00FC6052">
              <w:rPr>
                <w:sz w:val="26"/>
                <w:lang w:bidi="en-US"/>
              </w:rPr>
              <w:t>1. Approve the budget of the Audit Committee under the Board of Directors of IDGC of North-West, PJSC for 2020</w:t>
            </w:r>
            <w:r w:rsidR="00FC6052">
              <w:rPr>
                <w:sz w:val="26"/>
                <w:lang w:bidi="en-US"/>
              </w:rPr>
              <w:t>–</w:t>
            </w:r>
            <w:r w:rsidRPr="00FC6052">
              <w:rPr>
                <w:sz w:val="26"/>
                <w:lang w:bidi="en-US"/>
              </w:rPr>
              <w:t>2021 in accordance with Appendix No. 1 to the decision of the Board of Directors of the Company.</w:t>
            </w:r>
          </w:p>
          <w:p w:rsidR="00752558" w:rsidRPr="00FC6052" w:rsidRDefault="00752558" w:rsidP="00E21F79">
            <w:pPr>
              <w:widowControl w:val="0"/>
              <w:autoSpaceDE/>
              <w:autoSpaceDN/>
              <w:ind w:left="112" w:right="114"/>
              <w:contextualSpacing/>
              <w:jc w:val="both"/>
              <w:rPr>
                <w:bCs/>
                <w:sz w:val="26"/>
                <w:szCs w:val="26"/>
              </w:rPr>
            </w:pPr>
            <w:r w:rsidRPr="00FC6052">
              <w:rPr>
                <w:b/>
                <w:sz w:val="26"/>
                <w:lang w:bidi="en-US"/>
              </w:rPr>
              <w:lastRenderedPageBreak/>
              <w:t>Decision taken.</w:t>
            </w:r>
          </w:p>
          <w:p w:rsidR="00752558" w:rsidRPr="00FC6052" w:rsidRDefault="009912F4" w:rsidP="00E21F79">
            <w:pPr>
              <w:widowControl w:val="0"/>
              <w:autoSpaceDE/>
              <w:autoSpaceDN/>
              <w:ind w:left="112" w:right="114"/>
              <w:contextualSpacing/>
              <w:jc w:val="both"/>
              <w:rPr>
                <w:bCs/>
                <w:sz w:val="26"/>
                <w:szCs w:val="26"/>
              </w:rPr>
            </w:pPr>
            <w:r w:rsidRPr="00FC6052">
              <w:rPr>
                <w:sz w:val="26"/>
                <w:lang w:bidi="en-US"/>
              </w:rPr>
              <w:t>2. Approve of the budget of the Personnel and Award Committee under the Board of Directors of IDGC of North-West, PJSC for 2020</w:t>
            </w:r>
            <w:r w:rsidR="00FC6052">
              <w:rPr>
                <w:sz w:val="26"/>
                <w:lang w:bidi="en-US"/>
              </w:rPr>
              <w:t>–</w:t>
            </w:r>
            <w:r w:rsidRPr="00FC6052">
              <w:rPr>
                <w:sz w:val="26"/>
                <w:lang w:bidi="en-US"/>
              </w:rPr>
              <w:t>2021 in accordance with Appendix No. 2 to the decision of the Board of Directors of the Company.</w:t>
            </w:r>
          </w:p>
          <w:p w:rsidR="009912F4" w:rsidRPr="00FC6052" w:rsidRDefault="009912F4" w:rsidP="009912F4">
            <w:pPr>
              <w:widowControl w:val="0"/>
              <w:autoSpaceDE/>
              <w:autoSpaceDN/>
              <w:ind w:left="112" w:right="114"/>
              <w:contextualSpacing/>
              <w:jc w:val="both"/>
              <w:rPr>
                <w:bCs/>
                <w:sz w:val="26"/>
                <w:szCs w:val="26"/>
              </w:rPr>
            </w:pPr>
            <w:r w:rsidRPr="00FC6052">
              <w:rPr>
                <w:b/>
                <w:sz w:val="26"/>
                <w:lang w:bidi="en-US"/>
              </w:rPr>
              <w:t>Decision taken.</w:t>
            </w:r>
          </w:p>
          <w:p w:rsidR="009912F4" w:rsidRPr="00FC6052" w:rsidRDefault="009912F4" w:rsidP="009912F4">
            <w:pPr>
              <w:widowControl w:val="0"/>
              <w:autoSpaceDE/>
              <w:autoSpaceDN/>
              <w:ind w:left="112" w:right="114"/>
              <w:contextualSpacing/>
              <w:jc w:val="both"/>
              <w:rPr>
                <w:bCs/>
                <w:sz w:val="26"/>
                <w:szCs w:val="26"/>
              </w:rPr>
            </w:pPr>
            <w:r w:rsidRPr="00FC6052">
              <w:rPr>
                <w:sz w:val="26"/>
                <w:lang w:bidi="en-US"/>
              </w:rPr>
              <w:t>3. Approve the budget of the Reliability Committee under the Board of Directors of IDGC of North-West, PJSC for 2020</w:t>
            </w:r>
            <w:r w:rsidR="00FC6052">
              <w:rPr>
                <w:sz w:val="26"/>
                <w:lang w:bidi="en-US"/>
              </w:rPr>
              <w:t>–</w:t>
            </w:r>
            <w:r w:rsidRPr="00FC6052">
              <w:rPr>
                <w:sz w:val="26"/>
                <w:lang w:bidi="en-US"/>
              </w:rPr>
              <w:t>2021 in accordance with Appendix No. 3 to the decision of the Board of Directors of the Company.</w:t>
            </w:r>
          </w:p>
          <w:p w:rsidR="009912F4" w:rsidRPr="00FC6052" w:rsidRDefault="009912F4" w:rsidP="009912F4">
            <w:pPr>
              <w:widowControl w:val="0"/>
              <w:autoSpaceDE/>
              <w:autoSpaceDN/>
              <w:ind w:left="112" w:right="114"/>
              <w:contextualSpacing/>
              <w:jc w:val="both"/>
              <w:rPr>
                <w:bCs/>
                <w:sz w:val="26"/>
                <w:szCs w:val="26"/>
              </w:rPr>
            </w:pPr>
            <w:r w:rsidRPr="00FC6052">
              <w:rPr>
                <w:b/>
                <w:sz w:val="26"/>
                <w:lang w:bidi="en-US"/>
              </w:rPr>
              <w:t>Decision taken.</w:t>
            </w:r>
          </w:p>
          <w:p w:rsidR="009912F4" w:rsidRPr="00FC6052" w:rsidRDefault="001A7EAB" w:rsidP="00E21F79">
            <w:pPr>
              <w:widowControl w:val="0"/>
              <w:autoSpaceDE/>
              <w:autoSpaceDN/>
              <w:ind w:left="112" w:right="114"/>
              <w:contextualSpacing/>
              <w:jc w:val="both"/>
              <w:rPr>
                <w:bCs/>
                <w:sz w:val="26"/>
                <w:szCs w:val="26"/>
              </w:rPr>
            </w:pPr>
            <w:r w:rsidRPr="00FC6052">
              <w:rPr>
                <w:sz w:val="26"/>
                <w:lang w:bidi="en-US"/>
              </w:rPr>
              <w:t>4. Approve the budget of the Audit Committee under the Board of Directors of IDGC of North-West, PJSC for 2020</w:t>
            </w:r>
            <w:r w:rsidR="00FC6052">
              <w:rPr>
                <w:sz w:val="26"/>
                <w:lang w:bidi="en-US"/>
              </w:rPr>
              <w:t>–</w:t>
            </w:r>
            <w:r w:rsidRPr="00FC6052">
              <w:rPr>
                <w:sz w:val="26"/>
                <w:lang w:bidi="en-US"/>
              </w:rPr>
              <w:t>2021 in accordance with Appendix No. 4 to the decision of the Board of Directors of the Company.</w:t>
            </w:r>
          </w:p>
          <w:p w:rsidR="001A7EAB" w:rsidRPr="00FC6052" w:rsidRDefault="001A7EAB" w:rsidP="001A7EAB">
            <w:pPr>
              <w:widowControl w:val="0"/>
              <w:autoSpaceDE/>
              <w:autoSpaceDN/>
              <w:ind w:left="112" w:right="114"/>
              <w:contextualSpacing/>
              <w:jc w:val="both"/>
              <w:rPr>
                <w:bCs/>
                <w:sz w:val="26"/>
                <w:szCs w:val="26"/>
              </w:rPr>
            </w:pPr>
            <w:r w:rsidRPr="00FC6052">
              <w:rPr>
                <w:b/>
                <w:sz w:val="26"/>
                <w:lang w:bidi="en-US"/>
              </w:rPr>
              <w:t>Decision taken.</w:t>
            </w:r>
          </w:p>
          <w:p w:rsidR="009912F4" w:rsidRPr="00FC6052" w:rsidRDefault="001A7EAB" w:rsidP="00FC6052">
            <w:pPr>
              <w:widowControl w:val="0"/>
              <w:autoSpaceDE/>
              <w:autoSpaceDN/>
              <w:ind w:left="112" w:right="114"/>
              <w:contextualSpacing/>
              <w:jc w:val="both"/>
              <w:rPr>
                <w:bCs/>
                <w:sz w:val="26"/>
                <w:szCs w:val="26"/>
              </w:rPr>
            </w:pPr>
            <w:r w:rsidRPr="00FC6052">
              <w:rPr>
                <w:sz w:val="26"/>
                <w:lang w:bidi="en-US"/>
              </w:rPr>
              <w:t>5. Approve the budget of the Committee for Technological Connection to Electric Power Grids under the Board of Directors of IDGC of North-West, PJSC for 2020</w:t>
            </w:r>
            <w:r w:rsidR="00FC6052">
              <w:rPr>
                <w:sz w:val="26"/>
                <w:lang w:bidi="en-US"/>
              </w:rPr>
              <w:t>–</w:t>
            </w:r>
            <w:r w:rsidRPr="00FC6052">
              <w:rPr>
                <w:sz w:val="26"/>
                <w:lang w:bidi="en-US"/>
              </w:rPr>
              <w:t>2021 corporate year in accordance with Appendix No. 5 to the decision of the Board of Directors of the Company.</w:t>
            </w:r>
          </w:p>
          <w:p w:rsidR="001A7EAB" w:rsidRPr="00FC6052" w:rsidRDefault="001A7EAB" w:rsidP="001A7EAB">
            <w:pPr>
              <w:widowControl w:val="0"/>
              <w:autoSpaceDE/>
              <w:autoSpaceDN/>
              <w:ind w:left="112" w:right="114"/>
              <w:contextualSpacing/>
              <w:jc w:val="both"/>
              <w:rPr>
                <w:bCs/>
                <w:sz w:val="26"/>
                <w:szCs w:val="26"/>
              </w:rPr>
            </w:pPr>
            <w:r w:rsidRPr="00FC6052">
              <w:rPr>
                <w:b/>
                <w:sz w:val="26"/>
                <w:lang w:bidi="en-US"/>
              </w:rPr>
              <w:t>Decision taken.</w:t>
            </w:r>
          </w:p>
          <w:p w:rsidR="00963C1E" w:rsidRPr="00FC6052" w:rsidRDefault="00963C1E" w:rsidP="006F2CFC">
            <w:pPr>
              <w:widowControl w:val="0"/>
              <w:autoSpaceDE/>
              <w:autoSpaceDN/>
              <w:ind w:left="112" w:right="114" w:hanging="3"/>
              <w:contextualSpacing/>
              <w:jc w:val="both"/>
              <w:rPr>
                <w:bCs/>
                <w:sz w:val="26"/>
                <w:szCs w:val="26"/>
              </w:rPr>
            </w:pPr>
          </w:p>
          <w:p w:rsidR="001A7EAB" w:rsidRPr="00FC6052" w:rsidRDefault="001A7EAB" w:rsidP="006F2CFC">
            <w:pPr>
              <w:widowControl w:val="0"/>
              <w:autoSpaceDE/>
              <w:autoSpaceDN/>
              <w:ind w:left="112" w:right="114" w:hanging="3"/>
              <w:contextualSpacing/>
              <w:jc w:val="both"/>
              <w:rPr>
                <w:b/>
                <w:sz w:val="26"/>
                <w:szCs w:val="26"/>
              </w:rPr>
            </w:pPr>
            <w:r w:rsidRPr="00FC6052">
              <w:rPr>
                <w:b/>
                <w:sz w:val="26"/>
                <w:lang w:bidi="en-US"/>
              </w:rPr>
              <w:t>ISSUE No. 2: On approval of the Work Plan and the budget of the Company’s Internal Audit Subdivision for 2021.</w:t>
            </w:r>
          </w:p>
          <w:p w:rsidR="001A7EAB" w:rsidRPr="00FC6052" w:rsidRDefault="001A7EAB" w:rsidP="00283584">
            <w:pPr>
              <w:widowControl w:val="0"/>
              <w:tabs>
                <w:tab w:val="left" w:pos="10728"/>
              </w:tabs>
              <w:ind w:left="112"/>
              <w:jc w:val="both"/>
              <w:rPr>
                <w:rFonts w:eastAsia="Calibri"/>
                <w:bCs/>
                <w:sz w:val="26"/>
                <w:szCs w:val="26"/>
                <w:lang w:eastAsia="en-US"/>
              </w:rPr>
            </w:pPr>
            <w:r w:rsidRPr="00FC6052">
              <w:rPr>
                <w:sz w:val="26"/>
                <w:lang w:bidi="en-US"/>
              </w:rPr>
              <w:t>1. Approve the Work Plan of the Internal Audit Department of IDGC of North-West, PJSC for 2021 in accordance with Appendix No</w:t>
            </w:r>
            <w:r w:rsidR="00FC6052">
              <w:rPr>
                <w:sz w:val="26"/>
                <w:lang w:bidi="en-US"/>
              </w:rPr>
              <w:t>.</w:t>
            </w:r>
            <w:r w:rsidRPr="00FC6052">
              <w:rPr>
                <w:sz w:val="26"/>
                <w:lang w:bidi="en-US"/>
              </w:rPr>
              <w:t xml:space="preserve"> 6 to the decision of the Board of Directors of the Company. </w:t>
            </w:r>
          </w:p>
          <w:p w:rsidR="007171F9" w:rsidRPr="00FC6052" w:rsidRDefault="007171F9" w:rsidP="001A7EAB">
            <w:pPr>
              <w:widowControl w:val="0"/>
              <w:autoSpaceDE/>
              <w:autoSpaceDN/>
              <w:ind w:left="112" w:right="114"/>
              <w:contextualSpacing/>
              <w:jc w:val="both"/>
              <w:rPr>
                <w:b/>
                <w:sz w:val="26"/>
                <w:szCs w:val="26"/>
              </w:rPr>
            </w:pPr>
            <w:r w:rsidRPr="00FC6052">
              <w:rPr>
                <w:b/>
                <w:sz w:val="26"/>
                <w:lang w:bidi="en-US"/>
              </w:rPr>
              <w:t>Decision taken.</w:t>
            </w:r>
          </w:p>
          <w:p w:rsidR="009442BE" w:rsidRPr="00FC6052" w:rsidRDefault="00283584" w:rsidP="00283584">
            <w:pPr>
              <w:widowControl w:val="0"/>
              <w:autoSpaceDE/>
              <w:autoSpaceDN/>
              <w:ind w:left="112" w:right="114"/>
              <w:contextualSpacing/>
              <w:jc w:val="both"/>
              <w:rPr>
                <w:bCs/>
                <w:sz w:val="26"/>
                <w:szCs w:val="26"/>
              </w:rPr>
            </w:pPr>
            <w:r w:rsidRPr="00FC6052">
              <w:rPr>
                <w:sz w:val="26"/>
                <w:lang w:bidi="en-US"/>
              </w:rPr>
              <w:t>2. Approve the Budget of the Internal Audit Department of IDGC of North-West, PJSC for 2021 in accordance with Appendix No</w:t>
            </w:r>
            <w:r w:rsidR="00FC6052">
              <w:rPr>
                <w:sz w:val="26"/>
                <w:lang w:bidi="en-US"/>
              </w:rPr>
              <w:t>.</w:t>
            </w:r>
            <w:r w:rsidRPr="00FC6052">
              <w:rPr>
                <w:sz w:val="26"/>
                <w:lang w:bidi="en-US"/>
              </w:rPr>
              <w:t xml:space="preserve"> 7 to the decision of the Board of Directors of the Company. </w:t>
            </w:r>
          </w:p>
          <w:p w:rsidR="00283584" w:rsidRPr="00FC6052" w:rsidRDefault="00283584" w:rsidP="00283584">
            <w:pPr>
              <w:widowControl w:val="0"/>
              <w:autoSpaceDE/>
              <w:autoSpaceDN/>
              <w:ind w:left="112" w:right="114"/>
              <w:contextualSpacing/>
              <w:jc w:val="both"/>
              <w:rPr>
                <w:b/>
                <w:sz w:val="26"/>
                <w:szCs w:val="26"/>
              </w:rPr>
            </w:pPr>
            <w:r w:rsidRPr="00FC6052">
              <w:rPr>
                <w:b/>
                <w:sz w:val="26"/>
                <w:lang w:bidi="en-US"/>
              </w:rPr>
              <w:t>Decision taken.</w:t>
            </w:r>
          </w:p>
          <w:p w:rsidR="00283584" w:rsidRPr="00FC6052" w:rsidRDefault="00283584" w:rsidP="00074E64">
            <w:pPr>
              <w:widowControl w:val="0"/>
              <w:autoSpaceDE/>
              <w:autoSpaceDN/>
              <w:ind w:left="112" w:right="114"/>
              <w:contextualSpacing/>
              <w:jc w:val="both"/>
              <w:rPr>
                <w:bCs/>
                <w:sz w:val="26"/>
                <w:szCs w:val="26"/>
              </w:rPr>
            </w:pPr>
          </w:p>
          <w:p w:rsidR="00283584" w:rsidRPr="00FC6052" w:rsidRDefault="009A17FD" w:rsidP="00074E64">
            <w:pPr>
              <w:widowControl w:val="0"/>
              <w:autoSpaceDE/>
              <w:autoSpaceDN/>
              <w:ind w:left="112" w:right="114"/>
              <w:contextualSpacing/>
              <w:jc w:val="both"/>
              <w:rPr>
                <w:b/>
                <w:bCs/>
                <w:sz w:val="26"/>
                <w:szCs w:val="26"/>
              </w:rPr>
            </w:pPr>
            <w:r w:rsidRPr="00FC6052">
              <w:rPr>
                <w:b/>
                <w:sz w:val="26"/>
                <w:lang w:bidi="en-US"/>
              </w:rPr>
              <w:t>ISSUE No. 3: On determination of remuneration for the head and employees of the Internal Audit Subdivision of the Company (determination of target values of functional KPIs).</w:t>
            </w:r>
          </w:p>
          <w:p w:rsidR="009A17FD" w:rsidRPr="00FC6052" w:rsidRDefault="009A17FD" w:rsidP="009A17FD">
            <w:pPr>
              <w:widowControl w:val="0"/>
              <w:autoSpaceDE/>
              <w:autoSpaceDN/>
              <w:ind w:left="112" w:right="114"/>
              <w:contextualSpacing/>
              <w:jc w:val="both"/>
              <w:rPr>
                <w:bCs/>
                <w:sz w:val="26"/>
                <w:szCs w:val="26"/>
              </w:rPr>
            </w:pPr>
            <w:r w:rsidRPr="00FC6052">
              <w:rPr>
                <w:sz w:val="26"/>
                <w:lang w:bidi="en-US"/>
              </w:rPr>
              <w:t>1. Determine the target values of the functional KPIs of the head and employees of the Internal Audit Subdivision of IDGC of North-West, PJSC for 2021 in accordance with Appendix No. 8 of the Board of Directors of the Company.</w:t>
            </w:r>
          </w:p>
          <w:p w:rsidR="00283584" w:rsidRPr="00FC6052" w:rsidRDefault="009A17FD" w:rsidP="009A17FD">
            <w:pPr>
              <w:widowControl w:val="0"/>
              <w:autoSpaceDE/>
              <w:autoSpaceDN/>
              <w:ind w:left="112" w:right="114"/>
              <w:contextualSpacing/>
              <w:jc w:val="both"/>
              <w:rPr>
                <w:bCs/>
                <w:sz w:val="26"/>
                <w:szCs w:val="26"/>
              </w:rPr>
            </w:pPr>
            <w:r w:rsidRPr="00FC6052">
              <w:rPr>
                <w:sz w:val="26"/>
                <w:lang w:bidi="en-US"/>
              </w:rPr>
              <w:t>2. Instruct the sole executive body of the Company to approve the target values of the functional KPIs of the head and employees of the Internal Audit Subdivision of the Company for 2021 in the manner established by IDGC of North-West, PJSC.</w:t>
            </w:r>
          </w:p>
          <w:p w:rsidR="009A17FD" w:rsidRPr="00FC6052" w:rsidRDefault="009A17FD" w:rsidP="009A17FD">
            <w:pPr>
              <w:widowControl w:val="0"/>
              <w:autoSpaceDE/>
              <w:autoSpaceDN/>
              <w:ind w:left="112" w:right="114"/>
              <w:contextualSpacing/>
              <w:jc w:val="both"/>
              <w:rPr>
                <w:b/>
                <w:sz w:val="26"/>
                <w:szCs w:val="26"/>
              </w:rPr>
            </w:pPr>
            <w:r w:rsidRPr="00FC6052">
              <w:rPr>
                <w:b/>
                <w:sz w:val="26"/>
                <w:lang w:bidi="en-US"/>
              </w:rPr>
              <w:t>Decision taken.</w:t>
            </w:r>
          </w:p>
          <w:p w:rsidR="00283584" w:rsidRPr="00FC6052" w:rsidRDefault="00283584" w:rsidP="00074E64">
            <w:pPr>
              <w:widowControl w:val="0"/>
              <w:autoSpaceDE/>
              <w:autoSpaceDN/>
              <w:ind w:left="112" w:right="114"/>
              <w:contextualSpacing/>
              <w:jc w:val="both"/>
              <w:rPr>
                <w:bCs/>
                <w:sz w:val="26"/>
                <w:szCs w:val="26"/>
              </w:rPr>
            </w:pPr>
          </w:p>
          <w:p w:rsidR="009A17FD" w:rsidRPr="00FC6052" w:rsidRDefault="005D76DF" w:rsidP="005D76DF">
            <w:pPr>
              <w:widowControl w:val="0"/>
              <w:autoSpaceDE/>
              <w:autoSpaceDN/>
              <w:ind w:left="112" w:right="114"/>
              <w:contextualSpacing/>
              <w:jc w:val="both"/>
              <w:rPr>
                <w:b/>
                <w:bCs/>
                <w:sz w:val="26"/>
                <w:szCs w:val="26"/>
              </w:rPr>
            </w:pPr>
            <w:r w:rsidRPr="00FC6052">
              <w:rPr>
                <w:b/>
                <w:sz w:val="26"/>
                <w:lang w:bidi="en-US"/>
              </w:rPr>
              <w:t>ISSUE No. 4: On approval of the schedule plan of IDGC of North-West, PJSC for measures for reduction of the amount of overdue receivables for electric energy transfer services and settlement of disputes existing as of October 1, 2020.</w:t>
            </w:r>
          </w:p>
          <w:p w:rsidR="005D76DF" w:rsidRPr="00FC6052" w:rsidRDefault="005D76DF" w:rsidP="005D76DF">
            <w:pPr>
              <w:widowControl w:val="0"/>
              <w:autoSpaceDE/>
              <w:autoSpaceDN/>
              <w:ind w:left="112" w:right="114"/>
              <w:contextualSpacing/>
              <w:jc w:val="both"/>
              <w:rPr>
                <w:bCs/>
                <w:sz w:val="26"/>
                <w:szCs w:val="26"/>
              </w:rPr>
            </w:pPr>
            <w:r w:rsidRPr="00FC6052">
              <w:rPr>
                <w:sz w:val="26"/>
                <w:lang w:bidi="en-US"/>
              </w:rPr>
              <w:t>1</w:t>
            </w:r>
            <w:r w:rsidRPr="00FC6052">
              <w:rPr>
                <w:b/>
                <w:sz w:val="26"/>
                <w:lang w:bidi="en-US"/>
              </w:rPr>
              <w:t>.</w:t>
            </w:r>
            <w:r w:rsidRPr="00FC6052">
              <w:rPr>
                <w:b/>
                <w:sz w:val="26"/>
                <w:lang w:bidi="en-US"/>
              </w:rPr>
              <w:tab/>
            </w:r>
            <w:r w:rsidRPr="00FC6052">
              <w:rPr>
                <w:sz w:val="26"/>
                <w:lang w:bidi="en-US"/>
              </w:rPr>
              <w:t xml:space="preserve">Approve the schedule plan of IDGC of North-West, PJSC for measures for reduction of the amount of overdue receivables for electric energy transfer services and settlement of disputes existing as of October </w:t>
            </w:r>
            <w:r w:rsidR="00FC6052">
              <w:rPr>
                <w:sz w:val="26"/>
                <w:lang w:bidi="en-US"/>
              </w:rPr>
              <w:t>1</w:t>
            </w:r>
            <w:r w:rsidRPr="00FC6052">
              <w:rPr>
                <w:sz w:val="26"/>
                <w:lang w:bidi="en-US"/>
              </w:rPr>
              <w:t xml:space="preserve">, 2020 in accordance with Appendix No. </w:t>
            </w:r>
            <w:r w:rsidR="00FC6052">
              <w:rPr>
                <w:sz w:val="26"/>
                <w:lang w:bidi="en-US"/>
              </w:rPr>
              <w:t>9</w:t>
            </w:r>
            <w:r w:rsidRPr="00FC6052">
              <w:rPr>
                <w:sz w:val="26"/>
                <w:lang w:bidi="en-US"/>
              </w:rPr>
              <w:t xml:space="preserve"> to the decision of the Board of Directors of the Company.</w:t>
            </w:r>
          </w:p>
          <w:p w:rsidR="005D76DF" w:rsidRPr="00FC6052" w:rsidRDefault="005D76DF" w:rsidP="005D76DF">
            <w:pPr>
              <w:widowControl w:val="0"/>
              <w:autoSpaceDE/>
              <w:autoSpaceDN/>
              <w:ind w:left="112" w:right="114"/>
              <w:contextualSpacing/>
              <w:jc w:val="both"/>
              <w:rPr>
                <w:bCs/>
                <w:sz w:val="26"/>
                <w:szCs w:val="26"/>
              </w:rPr>
            </w:pPr>
            <w:proofErr w:type="gramStart"/>
            <w:r w:rsidRPr="00FC6052">
              <w:rPr>
                <w:sz w:val="26"/>
                <w:lang w:bidi="en-US"/>
              </w:rPr>
              <w:t>2.</w:t>
            </w:r>
            <w:r w:rsidRPr="00FC6052">
              <w:rPr>
                <w:sz w:val="26"/>
                <w:lang w:bidi="en-US"/>
              </w:rPr>
              <w:tab/>
              <w:t>Take under advisement</w:t>
            </w:r>
            <w:r w:rsidR="00FC6052">
              <w:rPr>
                <w:sz w:val="26"/>
                <w:lang w:bidi="en-US"/>
              </w:rPr>
              <w:t xml:space="preserve"> </w:t>
            </w:r>
            <w:r w:rsidRPr="00FC6052">
              <w:rPr>
                <w:sz w:val="26"/>
                <w:lang w:bidi="en-US"/>
              </w:rPr>
              <w:t>the information on the schedule plan of measures to reduce overdue receivables for electric energy transfer services and settlement of disputes, which was previously approved by the Board of Directors and relates to the indebtedness as of the beginning of the previous quarter, in accordance with Appendix No. 10 to the decision of the Board of Directors of the Company.</w:t>
            </w:r>
            <w:proofErr w:type="gramEnd"/>
            <w:r w:rsidRPr="00FC6052">
              <w:rPr>
                <w:sz w:val="26"/>
                <w:lang w:bidi="en-US"/>
              </w:rPr>
              <w:t xml:space="preserve"> </w:t>
            </w:r>
          </w:p>
          <w:p w:rsidR="005D76DF" w:rsidRPr="00FC6052" w:rsidRDefault="005D76DF" w:rsidP="005D76DF">
            <w:pPr>
              <w:widowControl w:val="0"/>
              <w:autoSpaceDE/>
              <w:autoSpaceDN/>
              <w:ind w:left="112" w:right="114"/>
              <w:contextualSpacing/>
              <w:jc w:val="both"/>
              <w:rPr>
                <w:bCs/>
                <w:sz w:val="26"/>
                <w:szCs w:val="26"/>
              </w:rPr>
            </w:pPr>
            <w:r w:rsidRPr="00FC6052">
              <w:rPr>
                <w:sz w:val="26"/>
                <w:lang w:bidi="en-US"/>
              </w:rPr>
              <w:t>3.</w:t>
            </w:r>
            <w:r w:rsidRPr="00FC6052">
              <w:rPr>
                <w:sz w:val="26"/>
                <w:lang w:bidi="en-US"/>
              </w:rPr>
              <w:tab/>
              <w:t>By the results of Q3 2020, take note of the following:</w:t>
            </w:r>
          </w:p>
          <w:p w:rsidR="005D76DF" w:rsidRPr="00FC6052" w:rsidRDefault="005D76DF" w:rsidP="00697878">
            <w:pPr>
              <w:widowControl w:val="0"/>
              <w:autoSpaceDE/>
              <w:autoSpaceDN/>
              <w:ind w:left="112" w:right="114" w:firstLine="422"/>
              <w:contextualSpacing/>
              <w:jc w:val="both"/>
              <w:rPr>
                <w:bCs/>
                <w:sz w:val="26"/>
                <w:szCs w:val="26"/>
              </w:rPr>
            </w:pPr>
            <w:r w:rsidRPr="00FC6052">
              <w:rPr>
                <w:sz w:val="26"/>
                <w:lang w:bidi="en-US"/>
              </w:rPr>
              <w:lastRenderedPageBreak/>
              <w:t>- fulfillment by the Company of the indicator “repayment/reduction of overdue receivables” (with the plan of 880.2 million rubles, the actual value was 1,423.3 million rubles);</w:t>
            </w:r>
          </w:p>
          <w:p w:rsidR="005D76DF" w:rsidRPr="00FC6052" w:rsidRDefault="005D76DF" w:rsidP="00697878">
            <w:pPr>
              <w:widowControl w:val="0"/>
              <w:autoSpaceDE/>
              <w:autoSpaceDN/>
              <w:ind w:left="112" w:right="114" w:firstLine="422"/>
              <w:contextualSpacing/>
              <w:jc w:val="both"/>
              <w:rPr>
                <w:bCs/>
                <w:sz w:val="26"/>
                <w:szCs w:val="26"/>
              </w:rPr>
            </w:pPr>
            <w:r w:rsidRPr="00FC6052">
              <w:rPr>
                <w:sz w:val="26"/>
                <w:lang w:bidi="en-US"/>
              </w:rPr>
              <w:t xml:space="preserve">- </w:t>
            </w:r>
            <w:proofErr w:type="gramStart"/>
            <w:r w:rsidRPr="00FC6052">
              <w:rPr>
                <w:sz w:val="26"/>
                <w:lang w:bidi="en-US"/>
              </w:rPr>
              <w:t>non-fulfillment</w:t>
            </w:r>
            <w:proofErr w:type="gramEnd"/>
            <w:r w:rsidRPr="00FC6052">
              <w:rPr>
                <w:sz w:val="26"/>
                <w:lang w:bidi="en-US"/>
              </w:rPr>
              <w:t xml:space="preserve"> by the Company of the indicator “repayment of the penalty for late payment or % for the use of foreign funds” (with the plan of 3.9 million rubles, the actual value was 1 million rubles).</w:t>
            </w:r>
          </w:p>
          <w:p w:rsidR="005D76DF" w:rsidRPr="00FC6052" w:rsidRDefault="005D76DF" w:rsidP="005D76DF">
            <w:pPr>
              <w:widowControl w:val="0"/>
              <w:autoSpaceDE/>
              <w:autoSpaceDN/>
              <w:ind w:left="112" w:right="114"/>
              <w:contextualSpacing/>
              <w:jc w:val="both"/>
              <w:rPr>
                <w:bCs/>
                <w:sz w:val="26"/>
                <w:szCs w:val="26"/>
              </w:rPr>
            </w:pPr>
            <w:r w:rsidRPr="00FC6052">
              <w:rPr>
                <w:sz w:val="26"/>
                <w:lang w:bidi="en-US"/>
              </w:rPr>
              <w:t>4.</w:t>
            </w:r>
            <w:r w:rsidRPr="00FC6052">
              <w:rPr>
                <w:sz w:val="26"/>
                <w:lang w:bidi="en-US"/>
              </w:rPr>
              <w:tab/>
              <w:t>Take under advisement the information:</w:t>
            </w:r>
          </w:p>
          <w:p w:rsidR="005D76DF" w:rsidRPr="00FC6052" w:rsidRDefault="005D76DF" w:rsidP="00697878">
            <w:pPr>
              <w:widowControl w:val="0"/>
              <w:autoSpaceDE/>
              <w:autoSpaceDN/>
              <w:ind w:left="112" w:right="114" w:firstLine="422"/>
              <w:contextualSpacing/>
              <w:jc w:val="both"/>
              <w:rPr>
                <w:bCs/>
                <w:sz w:val="26"/>
                <w:szCs w:val="26"/>
              </w:rPr>
            </w:pPr>
            <w:r w:rsidRPr="00FC6052">
              <w:rPr>
                <w:sz w:val="26"/>
                <w:lang w:bidi="en-US"/>
              </w:rPr>
              <w:t>- on execution of the order of the Board of Directors dated March 31, 2020 (Minutes No.</w:t>
            </w:r>
            <w:r w:rsidR="00FC6052">
              <w:rPr>
                <w:sz w:val="26"/>
                <w:lang w:bidi="en-US"/>
              </w:rPr>
              <w:t> </w:t>
            </w:r>
            <w:r w:rsidRPr="00FC6052">
              <w:rPr>
                <w:sz w:val="26"/>
                <w:lang w:bidi="en-US"/>
              </w:rPr>
              <w:t>357/34) in relation to repayment in 2020 of the amount of overdue debts from the amount of debts as of January 1, 2020;</w:t>
            </w:r>
          </w:p>
          <w:p w:rsidR="005D76DF" w:rsidRPr="00FC6052" w:rsidRDefault="005D76DF" w:rsidP="00697878">
            <w:pPr>
              <w:widowControl w:val="0"/>
              <w:autoSpaceDE/>
              <w:autoSpaceDN/>
              <w:ind w:left="112" w:right="114" w:firstLine="422"/>
              <w:contextualSpacing/>
              <w:jc w:val="both"/>
              <w:rPr>
                <w:bCs/>
                <w:sz w:val="26"/>
                <w:szCs w:val="26"/>
              </w:rPr>
            </w:pPr>
            <w:r w:rsidRPr="00FC6052">
              <w:rPr>
                <w:sz w:val="26"/>
                <w:lang w:bidi="en-US"/>
              </w:rPr>
              <w:t>-</w:t>
            </w:r>
            <w:r w:rsidRPr="00FC6052">
              <w:rPr>
                <w:sz w:val="26"/>
                <w:lang w:bidi="en-US"/>
              </w:rPr>
              <w:tab/>
              <w:t>actions performed on new overdue debts and turnover of overdue receivables for electric energy transmission services in Q3 2020;</w:t>
            </w:r>
          </w:p>
          <w:p w:rsidR="005D76DF" w:rsidRPr="00FC6052" w:rsidRDefault="005D76DF" w:rsidP="00697878">
            <w:pPr>
              <w:widowControl w:val="0"/>
              <w:autoSpaceDE/>
              <w:autoSpaceDN/>
              <w:ind w:left="112" w:right="114" w:firstLine="422"/>
              <w:contextualSpacing/>
              <w:jc w:val="both"/>
              <w:rPr>
                <w:bCs/>
                <w:sz w:val="26"/>
                <w:szCs w:val="26"/>
              </w:rPr>
            </w:pPr>
            <w:r w:rsidRPr="00FC6052">
              <w:rPr>
                <w:sz w:val="26"/>
                <w:lang w:bidi="en-US"/>
              </w:rPr>
              <w:t>-</w:t>
            </w:r>
            <w:r w:rsidRPr="00FC6052">
              <w:rPr>
                <w:sz w:val="26"/>
                <w:lang w:bidi="en-US"/>
              </w:rPr>
              <w:tab/>
              <w:t>on work conducted with respect to new overdue accounts receivable from the debt</w:t>
            </w:r>
            <w:r w:rsidR="00FC6052">
              <w:rPr>
                <w:sz w:val="26"/>
                <w:lang w:bidi="en-US"/>
              </w:rPr>
              <w:t>ors accounting for more than 10</w:t>
            </w:r>
            <w:r w:rsidRPr="00FC6052">
              <w:rPr>
                <w:sz w:val="26"/>
                <w:lang w:bidi="en-US"/>
              </w:rPr>
              <w:t>% of the total overdue indebtedness;</w:t>
            </w:r>
          </w:p>
          <w:p w:rsidR="005D76DF" w:rsidRPr="00FC6052" w:rsidRDefault="00FC6052" w:rsidP="00697878">
            <w:pPr>
              <w:widowControl w:val="0"/>
              <w:autoSpaceDE/>
              <w:autoSpaceDN/>
              <w:ind w:left="112" w:right="114" w:firstLine="422"/>
              <w:contextualSpacing/>
              <w:jc w:val="both"/>
              <w:rPr>
                <w:bCs/>
                <w:sz w:val="26"/>
                <w:szCs w:val="26"/>
              </w:rPr>
            </w:pPr>
            <w:r>
              <w:rPr>
                <w:sz w:val="26"/>
                <w:lang w:bidi="en-US"/>
              </w:rPr>
              <w:t xml:space="preserve">- </w:t>
            </w:r>
            <w:proofErr w:type="gramStart"/>
            <w:r w:rsidR="005D76DF" w:rsidRPr="00FC6052">
              <w:rPr>
                <w:sz w:val="26"/>
                <w:lang w:bidi="en-US"/>
              </w:rPr>
              <w:t>dealing</w:t>
            </w:r>
            <w:proofErr w:type="gramEnd"/>
            <w:r w:rsidR="005D76DF" w:rsidRPr="00FC6052">
              <w:rPr>
                <w:sz w:val="26"/>
                <w:lang w:bidi="en-US"/>
              </w:rPr>
              <w:t xml:space="preserve"> with major debtors accompanied with assessment of non-payment risks, status and assessment of possibility of debt collection through enforcement proceedings.</w:t>
            </w:r>
          </w:p>
          <w:p w:rsidR="005D76DF" w:rsidRPr="00FC6052" w:rsidRDefault="005D76DF" w:rsidP="005D76DF">
            <w:pPr>
              <w:widowControl w:val="0"/>
              <w:autoSpaceDE/>
              <w:autoSpaceDN/>
              <w:ind w:left="112" w:right="114"/>
              <w:contextualSpacing/>
              <w:jc w:val="both"/>
              <w:rPr>
                <w:bCs/>
                <w:sz w:val="26"/>
                <w:szCs w:val="26"/>
              </w:rPr>
            </w:pPr>
            <w:r w:rsidRPr="00FC6052">
              <w:rPr>
                <w:sz w:val="26"/>
                <w:lang w:bidi="en-US"/>
              </w:rPr>
              <w:t>5.</w:t>
            </w:r>
            <w:r w:rsidRPr="00FC6052">
              <w:rPr>
                <w:sz w:val="26"/>
                <w:lang w:bidi="en-US"/>
              </w:rPr>
              <w:tab/>
              <w:t>Note, that the Company has fulfilled the planned indicator of repayment of overdue receivables, which developed as of January 1, 2020 (with the p</w:t>
            </w:r>
            <w:r w:rsidR="00FC6052">
              <w:rPr>
                <w:sz w:val="26"/>
                <w:lang w:bidi="en-US"/>
              </w:rPr>
              <w:t>lan of 1,295.9 mln RUR, 3,062.0 </w:t>
            </w:r>
            <w:r w:rsidRPr="00FC6052">
              <w:rPr>
                <w:sz w:val="26"/>
                <w:lang w:bidi="en-US"/>
              </w:rPr>
              <w:t>mln RUR were actually repaid) according to results of 9 months of 2020.</w:t>
            </w:r>
          </w:p>
          <w:p w:rsidR="005D76DF" w:rsidRPr="00FC6052" w:rsidRDefault="005D76DF" w:rsidP="005D76DF">
            <w:pPr>
              <w:widowControl w:val="0"/>
              <w:autoSpaceDE/>
              <w:autoSpaceDN/>
              <w:ind w:left="112" w:right="114"/>
              <w:contextualSpacing/>
              <w:jc w:val="both"/>
              <w:rPr>
                <w:b/>
                <w:sz w:val="26"/>
                <w:szCs w:val="26"/>
              </w:rPr>
            </w:pPr>
            <w:r w:rsidRPr="00FC6052">
              <w:rPr>
                <w:b/>
                <w:sz w:val="26"/>
                <w:lang w:bidi="en-US"/>
              </w:rPr>
              <w:t>Decision taken.</w:t>
            </w:r>
          </w:p>
          <w:p w:rsidR="005D76DF" w:rsidRPr="00FC6052" w:rsidRDefault="005D76DF" w:rsidP="005D76DF">
            <w:pPr>
              <w:widowControl w:val="0"/>
              <w:autoSpaceDE/>
              <w:autoSpaceDN/>
              <w:ind w:left="112" w:right="114"/>
              <w:contextualSpacing/>
              <w:jc w:val="both"/>
              <w:rPr>
                <w:bCs/>
                <w:sz w:val="26"/>
                <w:szCs w:val="26"/>
              </w:rPr>
            </w:pPr>
          </w:p>
          <w:p w:rsidR="005D76DF" w:rsidRPr="00FC6052" w:rsidRDefault="00144C06" w:rsidP="005D76DF">
            <w:pPr>
              <w:widowControl w:val="0"/>
              <w:autoSpaceDE/>
              <w:autoSpaceDN/>
              <w:ind w:left="112" w:right="114"/>
              <w:contextualSpacing/>
              <w:jc w:val="both"/>
              <w:rPr>
                <w:b/>
                <w:bCs/>
                <w:sz w:val="26"/>
                <w:szCs w:val="26"/>
              </w:rPr>
            </w:pPr>
            <w:r w:rsidRPr="00FC6052">
              <w:rPr>
                <w:b/>
                <w:sz w:val="26"/>
                <w:lang w:bidi="en-US"/>
              </w:rPr>
              <w:t>ISSUE No.</w:t>
            </w:r>
            <w:r w:rsidR="00FC6052">
              <w:rPr>
                <w:b/>
                <w:sz w:val="26"/>
                <w:lang w:bidi="en-US"/>
              </w:rPr>
              <w:t xml:space="preserve"> </w:t>
            </w:r>
            <w:r w:rsidRPr="00FC6052">
              <w:rPr>
                <w:b/>
                <w:sz w:val="26"/>
                <w:lang w:bidi="en-US"/>
              </w:rPr>
              <w:t>5: On composition of the Audit Committee under the Board of Directors of the Company.</w:t>
            </w:r>
          </w:p>
          <w:p w:rsidR="00144C06" w:rsidRPr="00FC6052" w:rsidRDefault="00144C06" w:rsidP="00144C06">
            <w:pPr>
              <w:ind w:left="109" w:firstLine="600"/>
              <w:jc w:val="both"/>
              <w:rPr>
                <w:sz w:val="26"/>
                <w:szCs w:val="26"/>
              </w:rPr>
            </w:pPr>
            <w:r w:rsidRPr="00FC6052">
              <w:rPr>
                <w:sz w:val="26"/>
                <w:lang w:bidi="en-US"/>
              </w:rPr>
              <w:t>1. Early terminate the powers of the following members of the Audit Committee under the Board of Directors of IDGC of North-West, PJSC: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272"/>
              <w:gridCol w:w="6521"/>
            </w:tblGrid>
            <w:tr w:rsidR="00144C06" w:rsidRPr="00FC6052" w:rsidTr="00FC6052">
              <w:trPr>
                <w:trHeight w:val="20"/>
              </w:trPr>
              <w:tc>
                <w:tcPr>
                  <w:tcW w:w="371" w:type="pct"/>
                  <w:tcBorders>
                    <w:top w:val="single" w:sz="4" w:space="0" w:color="auto"/>
                    <w:left w:val="single" w:sz="4" w:space="0" w:color="auto"/>
                    <w:bottom w:val="single" w:sz="4" w:space="0" w:color="auto"/>
                    <w:right w:val="single" w:sz="4" w:space="0" w:color="auto"/>
                  </w:tcBorders>
                  <w:vAlign w:val="center"/>
                </w:tcPr>
                <w:p w:rsidR="00144C06" w:rsidRPr="00FC6052" w:rsidRDefault="00144C06" w:rsidP="00144C06">
                  <w:pPr>
                    <w:jc w:val="center"/>
                    <w:rPr>
                      <w:rFonts w:eastAsia="Calibri"/>
                      <w:sz w:val="26"/>
                      <w:szCs w:val="26"/>
                    </w:rPr>
                  </w:pPr>
                  <w:r w:rsidRPr="00FC6052">
                    <w:rPr>
                      <w:sz w:val="26"/>
                      <w:lang w:bidi="en-US"/>
                    </w:rPr>
                    <w:t>No</w:t>
                  </w:r>
                  <w:r w:rsidR="00FC6052">
                    <w:rPr>
                      <w:sz w:val="26"/>
                      <w:lang w:bidi="en-US"/>
                    </w:rPr>
                    <w:t>.</w:t>
                  </w:r>
                  <w:r w:rsidRPr="00FC6052">
                    <w:rPr>
                      <w:sz w:val="26"/>
                      <w:lang w:bidi="en-US"/>
                    </w:rPr>
                    <w:t xml:space="preserve"> </w:t>
                  </w:r>
                </w:p>
              </w:tc>
              <w:tc>
                <w:tcPr>
                  <w:tcW w:w="1196" w:type="pct"/>
                  <w:tcBorders>
                    <w:top w:val="single" w:sz="4" w:space="0" w:color="auto"/>
                    <w:left w:val="single" w:sz="4" w:space="0" w:color="auto"/>
                    <w:bottom w:val="single" w:sz="4" w:space="0" w:color="auto"/>
                    <w:right w:val="single" w:sz="4" w:space="0" w:color="auto"/>
                  </w:tcBorders>
                  <w:hideMark/>
                </w:tcPr>
                <w:p w:rsidR="00144C06" w:rsidRPr="00FC6052" w:rsidRDefault="00144C06" w:rsidP="00144C06">
                  <w:pPr>
                    <w:jc w:val="center"/>
                    <w:rPr>
                      <w:rFonts w:eastAsia="Calibri"/>
                      <w:sz w:val="26"/>
                      <w:szCs w:val="26"/>
                    </w:rPr>
                  </w:pPr>
                  <w:r w:rsidRPr="00FC6052">
                    <w:rPr>
                      <w:sz w:val="26"/>
                      <w:lang w:bidi="en-US"/>
                    </w:rPr>
                    <w:t>Full name</w:t>
                  </w:r>
                </w:p>
              </w:tc>
              <w:tc>
                <w:tcPr>
                  <w:tcW w:w="3433" w:type="pct"/>
                  <w:tcBorders>
                    <w:top w:val="single" w:sz="4" w:space="0" w:color="auto"/>
                    <w:left w:val="single" w:sz="4" w:space="0" w:color="auto"/>
                    <w:bottom w:val="single" w:sz="4" w:space="0" w:color="auto"/>
                    <w:right w:val="single" w:sz="4" w:space="0" w:color="auto"/>
                  </w:tcBorders>
                  <w:hideMark/>
                </w:tcPr>
                <w:p w:rsidR="00144C06" w:rsidRPr="00FC6052" w:rsidRDefault="00144C06" w:rsidP="00144C06">
                  <w:pPr>
                    <w:jc w:val="center"/>
                    <w:rPr>
                      <w:rFonts w:eastAsia="Calibri"/>
                      <w:sz w:val="26"/>
                      <w:szCs w:val="26"/>
                    </w:rPr>
                  </w:pPr>
                  <w:r w:rsidRPr="00FC6052">
                    <w:rPr>
                      <w:sz w:val="26"/>
                      <w:lang w:bidi="en-US"/>
                    </w:rPr>
                    <w:t>Position and place of employment</w:t>
                  </w:r>
                </w:p>
              </w:tc>
            </w:tr>
            <w:tr w:rsidR="00144C06" w:rsidRPr="00FC6052" w:rsidTr="00FC6052">
              <w:trPr>
                <w:trHeight w:val="657"/>
              </w:trPr>
              <w:tc>
                <w:tcPr>
                  <w:tcW w:w="371" w:type="pct"/>
                  <w:tcBorders>
                    <w:top w:val="single" w:sz="4" w:space="0" w:color="auto"/>
                    <w:left w:val="single" w:sz="4" w:space="0" w:color="auto"/>
                    <w:bottom w:val="single" w:sz="4" w:space="0" w:color="auto"/>
                    <w:right w:val="single" w:sz="4" w:space="0" w:color="auto"/>
                  </w:tcBorders>
                </w:tcPr>
                <w:p w:rsidR="00144C06" w:rsidRPr="00FC6052" w:rsidRDefault="00144C06" w:rsidP="00144C06">
                  <w:pPr>
                    <w:ind w:right="83"/>
                    <w:jc w:val="center"/>
                    <w:rPr>
                      <w:rFonts w:eastAsia="Calibri"/>
                      <w:color w:val="000000"/>
                      <w:sz w:val="26"/>
                      <w:szCs w:val="26"/>
                    </w:rPr>
                  </w:pPr>
                  <w:r w:rsidRPr="00FC6052">
                    <w:rPr>
                      <w:sz w:val="26"/>
                      <w:lang w:bidi="en-US"/>
                    </w:rPr>
                    <w:t>1</w:t>
                  </w:r>
                </w:p>
              </w:tc>
              <w:tc>
                <w:tcPr>
                  <w:tcW w:w="1196" w:type="pct"/>
                  <w:tcBorders>
                    <w:top w:val="single" w:sz="4" w:space="0" w:color="auto"/>
                    <w:left w:val="single" w:sz="4" w:space="0" w:color="auto"/>
                    <w:bottom w:val="single" w:sz="4" w:space="0" w:color="auto"/>
                    <w:right w:val="single" w:sz="4" w:space="0" w:color="auto"/>
                  </w:tcBorders>
                  <w:hideMark/>
                </w:tcPr>
                <w:p w:rsidR="00144C06" w:rsidRPr="00FC6052" w:rsidRDefault="00144C06" w:rsidP="00144C06">
                  <w:pPr>
                    <w:ind w:right="-108"/>
                    <w:contextualSpacing/>
                    <w:jc w:val="both"/>
                    <w:rPr>
                      <w:rFonts w:eastAsia="Calibri"/>
                      <w:color w:val="000000"/>
                      <w:sz w:val="26"/>
                      <w:szCs w:val="26"/>
                    </w:rPr>
                  </w:pPr>
                  <w:r w:rsidRPr="00FC6052">
                    <w:rPr>
                      <w:sz w:val="26"/>
                      <w:lang w:bidi="en-US"/>
                    </w:rPr>
                    <w:t>Korneyev</w:t>
                  </w:r>
                  <w:r w:rsidR="00FC6052">
                    <w:rPr>
                      <w:sz w:val="26"/>
                      <w:lang w:bidi="en-US"/>
                    </w:rPr>
                    <w:t>,</w:t>
                  </w:r>
                  <w:r w:rsidRPr="00FC6052">
                    <w:rPr>
                      <w:sz w:val="26"/>
                      <w:lang w:bidi="en-US"/>
                    </w:rPr>
                    <w:t xml:space="preserve"> </w:t>
                  </w:r>
                </w:p>
                <w:p w:rsidR="00144C06" w:rsidRPr="00FC6052" w:rsidRDefault="00144C06" w:rsidP="00144C06">
                  <w:pPr>
                    <w:ind w:right="-108"/>
                    <w:contextualSpacing/>
                    <w:jc w:val="both"/>
                    <w:rPr>
                      <w:rFonts w:eastAsia="Calibri"/>
                      <w:color w:val="000000"/>
                      <w:sz w:val="26"/>
                      <w:szCs w:val="26"/>
                    </w:rPr>
                  </w:pPr>
                  <w:r w:rsidRPr="00FC6052">
                    <w:rPr>
                      <w:sz w:val="26"/>
                      <w:lang w:bidi="en-US"/>
                    </w:rPr>
                    <w:t>Aleksandr Yur</w:t>
                  </w:r>
                  <w:r w:rsidR="00FC6052">
                    <w:rPr>
                      <w:sz w:val="26"/>
                      <w:lang w:bidi="en-US"/>
                    </w:rPr>
                    <w:t>y</w:t>
                  </w:r>
                  <w:r w:rsidRPr="00FC6052">
                    <w:rPr>
                      <w:sz w:val="26"/>
                      <w:lang w:bidi="en-US"/>
                    </w:rPr>
                    <w:t>evich</w:t>
                  </w:r>
                  <w:bookmarkStart w:id="0" w:name="_GoBack"/>
                  <w:bookmarkEnd w:id="0"/>
                </w:p>
              </w:tc>
              <w:tc>
                <w:tcPr>
                  <w:tcW w:w="3433" w:type="pct"/>
                  <w:tcBorders>
                    <w:top w:val="single" w:sz="4" w:space="0" w:color="auto"/>
                    <w:left w:val="single" w:sz="4" w:space="0" w:color="auto"/>
                    <w:bottom w:val="single" w:sz="4" w:space="0" w:color="auto"/>
                    <w:right w:val="single" w:sz="4" w:space="0" w:color="auto"/>
                  </w:tcBorders>
                  <w:hideMark/>
                </w:tcPr>
                <w:p w:rsidR="00144C06" w:rsidRPr="00FC6052" w:rsidRDefault="00144C06" w:rsidP="00144C06">
                  <w:pPr>
                    <w:ind w:right="85"/>
                    <w:contextualSpacing/>
                    <w:jc w:val="both"/>
                    <w:rPr>
                      <w:rFonts w:eastAsia="Calibri"/>
                      <w:sz w:val="26"/>
                      <w:szCs w:val="26"/>
                    </w:rPr>
                  </w:pPr>
                  <w:r w:rsidRPr="00FC6052">
                    <w:rPr>
                      <w:sz w:val="26"/>
                      <w:lang w:bidi="en-US"/>
                    </w:rPr>
                    <w:t>Head of the Department of Technological Connection and Infrastructure Development of Rosseti, PJSC</w:t>
                  </w:r>
                </w:p>
              </w:tc>
            </w:tr>
          </w:tbl>
          <w:p w:rsidR="00144C06" w:rsidRPr="00FC6052" w:rsidRDefault="00144C06" w:rsidP="00144C06">
            <w:pPr>
              <w:widowControl w:val="0"/>
              <w:autoSpaceDE/>
              <w:autoSpaceDN/>
              <w:ind w:left="112" w:right="114"/>
              <w:contextualSpacing/>
              <w:jc w:val="both"/>
              <w:rPr>
                <w:bCs/>
                <w:sz w:val="26"/>
                <w:szCs w:val="26"/>
              </w:rPr>
            </w:pPr>
            <w:r w:rsidRPr="00FC6052">
              <w:rPr>
                <w:sz w:val="26"/>
                <w:lang w:bidi="en-US"/>
              </w:rPr>
              <w:t xml:space="preserve">2. Determine the number of members of the Audit Committee under the Board of Directors of IDGC of North-West, </w:t>
            </w:r>
            <w:r w:rsidR="00FC6052">
              <w:rPr>
                <w:sz w:val="26"/>
                <w:lang w:bidi="en-US"/>
              </w:rPr>
              <w:t>P</w:t>
            </w:r>
            <w:r w:rsidRPr="00FC6052">
              <w:rPr>
                <w:sz w:val="26"/>
                <w:lang w:bidi="en-US"/>
              </w:rPr>
              <w:t>JSC as equal to 5 (Five) persons.</w:t>
            </w:r>
          </w:p>
          <w:p w:rsidR="00144C06" w:rsidRPr="00FC6052" w:rsidRDefault="00144C06" w:rsidP="00144C06">
            <w:pPr>
              <w:widowControl w:val="0"/>
              <w:autoSpaceDE/>
              <w:autoSpaceDN/>
              <w:ind w:left="112" w:right="114"/>
              <w:contextualSpacing/>
              <w:jc w:val="both"/>
              <w:rPr>
                <w:bCs/>
                <w:sz w:val="26"/>
                <w:szCs w:val="26"/>
              </w:rPr>
            </w:pPr>
            <w:proofErr w:type="gramStart"/>
            <w:r w:rsidRPr="00FC6052">
              <w:rPr>
                <w:sz w:val="26"/>
                <w:lang w:bidi="en-US"/>
              </w:rPr>
              <w:t>3. Invalidate the decision of the Board of Directors of IDGC of North-West, PJSC dated June 30, 2020 (Minutes No. 367/3) on item No. 5 of the agenda “On the composition of the Committees of the Board of Directors of the Company” (clause</w:t>
            </w:r>
            <w:r w:rsidR="00FC6052">
              <w:rPr>
                <w:sz w:val="26"/>
                <w:lang w:bidi="en-US"/>
              </w:rPr>
              <w:t xml:space="preserve"> </w:t>
            </w:r>
            <w:r w:rsidRPr="00FC6052">
              <w:rPr>
                <w:sz w:val="26"/>
                <w:lang w:bidi="en-US"/>
              </w:rPr>
              <w:t>1.1) in terms of determining the number of members of the Audit Committee under the Board of Directors of the Company.</w:t>
            </w:r>
            <w:proofErr w:type="gramEnd"/>
          </w:p>
          <w:p w:rsidR="00144C06" w:rsidRPr="00FC6052" w:rsidRDefault="00144C06" w:rsidP="00144C06">
            <w:pPr>
              <w:widowControl w:val="0"/>
              <w:autoSpaceDE/>
              <w:autoSpaceDN/>
              <w:ind w:left="112" w:right="114"/>
              <w:contextualSpacing/>
              <w:jc w:val="both"/>
              <w:rPr>
                <w:b/>
                <w:sz w:val="26"/>
                <w:szCs w:val="26"/>
              </w:rPr>
            </w:pPr>
            <w:r w:rsidRPr="00FC6052">
              <w:rPr>
                <w:b/>
                <w:sz w:val="26"/>
                <w:lang w:bidi="en-US"/>
              </w:rPr>
              <w:t>Decision taken.</w:t>
            </w:r>
          </w:p>
          <w:p w:rsidR="00144C06" w:rsidRPr="00FC6052" w:rsidRDefault="00144C06" w:rsidP="005D76DF">
            <w:pPr>
              <w:widowControl w:val="0"/>
              <w:autoSpaceDE/>
              <w:autoSpaceDN/>
              <w:ind w:left="112" w:right="114"/>
              <w:contextualSpacing/>
              <w:jc w:val="both"/>
              <w:rPr>
                <w:b/>
                <w:bCs/>
                <w:sz w:val="26"/>
                <w:szCs w:val="26"/>
              </w:rPr>
            </w:pPr>
          </w:p>
          <w:p w:rsidR="00144C06" w:rsidRPr="00FC6052" w:rsidRDefault="00692513" w:rsidP="005D76DF">
            <w:pPr>
              <w:widowControl w:val="0"/>
              <w:autoSpaceDE/>
              <w:autoSpaceDN/>
              <w:ind w:left="112" w:right="114"/>
              <w:contextualSpacing/>
              <w:jc w:val="both"/>
              <w:rPr>
                <w:b/>
                <w:bCs/>
                <w:sz w:val="26"/>
                <w:szCs w:val="26"/>
              </w:rPr>
            </w:pPr>
            <w:r w:rsidRPr="00FC6052">
              <w:rPr>
                <w:b/>
                <w:sz w:val="26"/>
                <w:lang w:bidi="en-US"/>
              </w:rPr>
              <w:t>ISSUE No. 6: On accession to the changes of the Unified Procurement Standard of Rosseti, PJSC (Procurement Regulations), approved by a decision of the Board of Directors of Rosseti, PJSC (Minutes dated November 24, 2020 No. 440).</w:t>
            </w:r>
          </w:p>
          <w:p w:rsidR="00144C06" w:rsidRPr="00FC6052" w:rsidRDefault="00692513" w:rsidP="00692513">
            <w:pPr>
              <w:widowControl w:val="0"/>
              <w:autoSpaceDE/>
              <w:autoSpaceDN/>
              <w:ind w:left="112" w:right="114" w:firstLine="564"/>
              <w:contextualSpacing/>
              <w:jc w:val="both"/>
              <w:rPr>
                <w:bCs/>
                <w:sz w:val="26"/>
                <w:szCs w:val="26"/>
              </w:rPr>
            </w:pPr>
            <w:r w:rsidRPr="00FC6052">
              <w:rPr>
                <w:sz w:val="26"/>
                <w:lang w:bidi="en-US"/>
              </w:rPr>
              <w:t>Join the changes of the Unified Procurement Standard of Rosseti, PJSC (Procurement Regulations), approved by the decision of the Board of Directors of Rosseti, PJSC dated November 23, 2020 (minutes dated November 24, 2020 No. 440) according to the Appendix No. 11 to this decision of the Board of Directors of the Company.</w:t>
            </w:r>
          </w:p>
          <w:p w:rsidR="00692513" w:rsidRPr="00FC6052" w:rsidRDefault="00692513" w:rsidP="00692513">
            <w:pPr>
              <w:widowControl w:val="0"/>
              <w:autoSpaceDE/>
              <w:autoSpaceDN/>
              <w:ind w:left="112" w:right="114"/>
              <w:contextualSpacing/>
              <w:jc w:val="both"/>
              <w:rPr>
                <w:b/>
                <w:sz w:val="26"/>
                <w:szCs w:val="26"/>
              </w:rPr>
            </w:pPr>
            <w:r w:rsidRPr="00FC6052">
              <w:rPr>
                <w:b/>
                <w:sz w:val="26"/>
                <w:lang w:bidi="en-US"/>
              </w:rPr>
              <w:t>Decision taken.</w:t>
            </w:r>
          </w:p>
          <w:p w:rsidR="007945DF" w:rsidRPr="00FC6052" w:rsidRDefault="007050B5" w:rsidP="007945DF">
            <w:pPr>
              <w:widowControl w:val="0"/>
              <w:autoSpaceDE/>
              <w:autoSpaceDN/>
              <w:ind w:left="112" w:right="114"/>
              <w:contextualSpacing/>
              <w:jc w:val="both"/>
              <w:rPr>
                <w:sz w:val="26"/>
                <w:szCs w:val="26"/>
              </w:rPr>
            </w:pPr>
            <w:proofErr w:type="gramStart"/>
            <w:r w:rsidRPr="00FC6052">
              <w:rPr>
                <w:sz w:val="26"/>
                <w:lang w:bidi="en-US"/>
              </w:rPr>
              <w:t>2.3. If the agenda of the meeting of the Issuer’s Board of Directors (Supervisory Board) contains issues related to exercise of rights with regard to certain securities of the Issuer, the identification attributes of such securities shall be indicated</w:t>
            </w:r>
            <w:r w:rsidRPr="00FC6052">
              <w:rPr>
                <w:b/>
                <w:sz w:val="26"/>
                <w:lang w:bidi="en-US"/>
              </w:rPr>
              <w:t>: the agenda of the meeting of the Board of Directors of the Issuer conducted on December 22, 2020 does not contain issues related to the exercise of rights with regard to securities of the Issuer.</w:t>
            </w:r>
            <w:proofErr w:type="gramEnd"/>
          </w:p>
          <w:p w:rsidR="00424501" w:rsidRPr="00FC6052" w:rsidRDefault="00424501" w:rsidP="009B2182">
            <w:pPr>
              <w:widowControl w:val="0"/>
              <w:autoSpaceDE/>
              <w:autoSpaceDN/>
              <w:ind w:left="112" w:right="114"/>
              <w:contextualSpacing/>
              <w:jc w:val="both"/>
              <w:rPr>
                <w:b/>
                <w:sz w:val="26"/>
                <w:szCs w:val="26"/>
              </w:rPr>
            </w:pPr>
            <w:r w:rsidRPr="00FC6052">
              <w:rPr>
                <w:sz w:val="26"/>
                <w:lang w:bidi="en-US"/>
              </w:rPr>
              <w:t xml:space="preserve">2.4. Date of arrangement of the session of the Board of Directors of the Issuer whereat the relevant </w:t>
            </w:r>
            <w:r w:rsidRPr="00FC6052">
              <w:rPr>
                <w:sz w:val="26"/>
                <w:lang w:bidi="en-US"/>
              </w:rPr>
              <w:lastRenderedPageBreak/>
              <w:t xml:space="preserve">decisions </w:t>
            </w:r>
            <w:proofErr w:type="gramStart"/>
            <w:r w:rsidRPr="00FC6052">
              <w:rPr>
                <w:sz w:val="26"/>
                <w:lang w:bidi="en-US"/>
              </w:rPr>
              <w:t>were taken</w:t>
            </w:r>
            <w:proofErr w:type="gramEnd"/>
            <w:r w:rsidRPr="00FC6052">
              <w:rPr>
                <w:sz w:val="26"/>
                <w:lang w:bidi="en-US"/>
              </w:rPr>
              <w:t xml:space="preserve">: </w:t>
            </w:r>
            <w:r w:rsidRPr="00FC6052">
              <w:rPr>
                <w:b/>
                <w:sz w:val="26"/>
                <w:lang w:bidi="en-US"/>
              </w:rPr>
              <w:t>December 22, 2020.</w:t>
            </w:r>
          </w:p>
          <w:p w:rsidR="00E369EF" w:rsidRPr="00FC6052" w:rsidRDefault="00424501" w:rsidP="00F81A3B">
            <w:pPr>
              <w:widowControl w:val="0"/>
              <w:tabs>
                <w:tab w:val="left" w:pos="591"/>
              </w:tabs>
              <w:autoSpaceDE/>
              <w:autoSpaceDN/>
              <w:ind w:left="112" w:right="114"/>
              <w:contextualSpacing/>
              <w:jc w:val="both"/>
              <w:rPr>
                <w:sz w:val="26"/>
                <w:szCs w:val="26"/>
              </w:rPr>
            </w:pPr>
            <w:r w:rsidRPr="00FC6052">
              <w:rPr>
                <w:sz w:val="26"/>
                <w:lang w:bidi="en-US"/>
              </w:rPr>
              <w:t xml:space="preserve">2.5. Date and number of the Minutes of the meeting of the Board of Directors of the Issuer whereat the relevant decisions </w:t>
            </w:r>
            <w:proofErr w:type="gramStart"/>
            <w:r w:rsidRPr="00FC6052">
              <w:rPr>
                <w:sz w:val="26"/>
                <w:lang w:bidi="en-US"/>
              </w:rPr>
              <w:t>were approved</w:t>
            </w:r>
            <w:proofErr w:type="gramEnd"/>
            <w:r w:rsidRPr="00FC6052">
              <w:rPr>
                <w:sz w:val="26"/>
                <w:lang w:bidi="en-US"/>
              </w:rPr>
              <w:t xml:space="preserve">: </w:t>
            </w:r>
            <w:r w:rsidRPr="00FC6052">
              <w:rPr>
                <w:b/>
                <w:sz w:val="26"/>
                <w:lang w:bidi="en-US"/>
              </w:rPr>
              <w:t xml:space="preserve">Minutes No. 383/19 dated December </w:t>
            </w:r>
            <w:r w:rsidRPr="00FC6052">
              <w:rPr>
                <w:b/>
                <w:color w:val="FF0000"/>
                <w:sz w:val="26"/>
                <w:lang w:bidi="en-US"/>
              </w:rPr>
              <w:t>22</w:t>
            </w:r>
            <w:r w:rsidRPr="00FC6052">
              <w:rPr>
                <w:b/>
                <w:sz w:val="26"/>
                <w:lang w:bidi="en-US"/>
              </w:rPr>
              <w:t>, 2020.</w:t>
            </w:r>
          </w:p>
        </w:tc>
      </w:tr>
      <w:tr w:rsidR="00137C8F" w:rsidRPr="00FC6052"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FC6052" w:rsidRDefault="00137C8F" w:rsidP="006424E1">
            <w:pPr>
              <w:widowControl w:val="0"/>
              <w:autoSpaceDE/>
              <w:autoSpaceDN/>
              <w:spacing w:after="60"/>
              <w:jc w:val="center"/>
              <w:rPr>
                <w:sz w:val="26"/>
                <w:szCs w:val="26"/>
              </w:rPr>
            </w:pPr>
            <w:r w:rsidRPr="00FC6052">
              <w:rPr>
                <w:sz w:val="26"/>
                <w:lang w:bidi="en-US"/>
              </w:rPr>
              <w:lastRenderedPageBreak/>
              <w:t>3. Signature</w:t>
            </w:r>
          </w:p>
        </w:tc>
      </w:tr>
      <w:tr w:rsidR="008A470A" w:rsidRPr="00FC6052"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FC6052" w:rsidRDefault="008A470A" w:rsidP="006424E1">
            <w:pPr>
              <w:widowControl w:val="0"/>
              <w:ind w:left="498" w:hanging="441"/>
              <w:rPr>
                <w:sz w:val="26"/>
                <w:szCs w:val="26"/>
              </w:rPr>
            </w:pPr>
            <w:r w:rsidRPr="00FC6052">
              <w:rPr>
                <w:sz w:val="26"/>
                <w:lang w:bidi="en-US"/>
              </w:rPr>
              <w:t>3.1. Head of the Department for Corporate Governance and Shareholder Relations of IDGC of North-West, PJSC</w:t>
            </w:r>
          </w:p>
          <w:p w:rsidR="008A470A" w:rsidRPr="00FC6052" w:rsidRDefault="00C93A19" w:rsidP="00C22F41">
            <w:pPr>
              <w:widowControl w:val="0"/>
              <w:autoSpaceDE/>
              <w:ind w:left="510"/>
              <w:rPr>
                <w:sz w:val="26"/>
                <w:szCs w:val="26"/>
                <w:lang w:eastAsia="en-US"/>
              </w:rPr>
            </w:pPr>
            <w:r w:rsidRPr="00FC6052">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FC6052"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C6052" w:rsidRDefault="008A470A" w:rsidP="006424E1">
            <w:pPr>
              <w:widowControl w:val="0"/>
              <w:spacing w:line="228" w:lineRule="auto"/>
              <w:ind w:left="57"/>
              <w:rPr>
                <w:sz w:val="26"/>
                <w:szCs w:val="26"/>
                <w:lang w:eastAsia="en-US"/>
              </w:rPr>
            </w:pPr>
          </w:p>
          <w:p w:rsidR="008A470A" w:rsidRPr="00FC6052" w:rsidRDefault="00C93A19" w:rsidP="006424E1">
            <w:pPr>
              <w:widowControl w:val="0"/>
              <w:spacing w:line="228" w:lineRule="auto"/>
              <w:ind w:left="57"/>
              <w:rPr>
                <w:sz w:val="26"/>
                <w:szCs w:val="26"/>
                <w:lang w:eastAsia="en-US"/>
              </w:rPr>
            </w:pPr>
            <w:r w:rsidRPr="00FC6052">
              <w:rPr>
                <w:sz w:val="26"/>
                <w:lang w:bidi="en-US"/>
              </w:rPr>
              <w:t>A.A. Temnyshev</w:t>
            </w:r>
          </w:p>
        </w:tc>
      </w:tr>
      <w:tr w:rsidR="008A470A" w:rsidRPr="00FC6052"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C6052" w:rsidRDefault="008A470A" w:rsidP="006424E1">
            <w:pPr>
              <w:widowControl w:val="0"/>
              <w:autoSpaceDE/>
              <w:spacing w:line="276" w:lineRule="auto"/>
              <w:ind w:left="57"/>
              <w:rPr>
                <w:sz w:val="26"/>
                <w:szCs w:val="26"/>
                <w:lang w:eastAsia="en-US"/>
              </w:rPr>
            </w:pPr>
          </w:p>
          <w:p w:rsidR="008A470A" w:rsidRPr="00FC6052" w:rsidRDefault="008A470A" w:rsidP="00EF5B6D">
            <w:pPr>
              <w:widowControl w:val="0"/>
              <w:autoSpaceDE/>
              <w:spacing w:line="276" w:lineRule="auto"/>
              <w:ind w:left="57"/>
              <w:rPr>
                <w:sz w:val="26"/>
                <w:szCs w:val="26"/>
                <w:lang w:eastAsia="en-US"/>
              </w:rPr>
            </w:pPr>
            <w:r w:rsidRPr="00FC6052">
              <w:rPr>
                <w:sz w:val="26"/>
                <w:lang w:bidi="en-US"/>
              </w:rPr>
              <w:t xml:space="preserve">3.2. Date </w:t>
            </w:r>
            <w:r w:rsidRPr="00FC6052">
              <w:rPr>
                <w:b/>
                <w:sz w:val="26"/>
                <w:lang w:bidi="en-US"/>
              </w:rPr>
              <w:t xml:space="preserve">December </w:t>
            </w:r>
            <w:r w:rsidR="0008546C" w:rsidRPr="00FC6052">
              <w:rPr>
                <w:b/>
                <w:color w:val="FF0000"/>
                <w:sz w:val="26"/>
                <w:lang w:bidi="en-US"/>
              </w:rPr>
              <w:t>22</w:t>
            </w:r>
            <w:r w:rsidRPr="00FC6052">
              <w:rPr>
                <w:b/>
                <w:sz w:val="26"/>
                <w:lang w:bidi="en-US"/>
              </w:rPr>
              <w:t>, 2020</w:t>
            </w:r>
          </w:p>
        </w:tc>
        <w:tc>
          <w:tcPr>
            <w:tcW w:w="3119" w:type="dxa"/>
            <w:gridSpan w:val="2"/>
            <w:tcBorders>
              <w:top w:val="nil"/>
              <w:left w:val="nil"/>
              <w:bottom w:val="single" w:sz="4" w:space="0" w:color="auto"/>
              <w:right w:val="nil"/>
            </w:tcBorders>
            <w:hideMark/>
          </w:tcPr>
          <w:p w:rsidR="008A470A" w:rsidRPr="00FC6052" w:rsidRDefault="008A470A" w:rsidP="006424E1">
            <w:pPr>
              <w:widowControl w:val="0"/>
              <w:autoSpaceDE/>
              <w:spacing w:line="276" w:lineRule="auto"/>
              <w:ind w:left="57"/>
              <w:jc w:val="center"/>
              <w:rPr>
                <w:sz w:val="26"/>
                <w:szCs w:val="26"/>
                <w:lang w:eastAsia="en-US"/>
              </w:rPr>
            </w:pPr>
            <w:r w:rsidRPr="00FC6052">
              <w:rPr>
                <w:sz w:val="26"/>
                <w:lang w:bidi="en-US"/>
              </w:rPr>
              <w:t>(signature)</w:t>
            </w:r>
          </w:p>
          <w:p w:rsidR="008A470A" w:rsidRPr="00FC6052" w:rsidRDefault="008A470A" w:rsidP="006424E1">
            <w:pPr>
              <w:widowControl w:val="0"/>
              <w:autoSpaceDE/>
              <w:spacing w:line="276" w:lineRule="auto"/>
              <w:ind w:left="57"/>
              <w:jc w:val="center"/>
              <w:rPr>
                <w:sz w:val="26"/>
                <w:szCs w:val="26"/>
                <w:lang w:eastAsia="en-US"/>
              </w:rPr>
            </w:pPr>
            <w:r w:rsidRPr="00FC6052">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FC6052" w:rsidRDefault="008A470A" w:rsidP="006424E1">
            <w:pPr>
              <w:widowControl w:val="0"/>
              <w:autoSpaceDE/>
              <w:spacing w:line="276" w:lineRule="auto"/>
              <w:ind w:left="57"/>
              <w:rPr>
                <w:sz w:val="26"/>
                <w:szCs w:val="26"/>
                <w:lang w:eastAsia="en-US"/>
              </w:rPr>
            </w:pPr>
          </w:p>
        </w:tc>
      </w:tr>
    </w:tbl>
    <w:p w:rsidR="009B1CF1" w:rsidRPr="00FC6052" w:rsidRDefault="009B1CF1" w:rsidP="006424E1">
      <w:pPr>
        <w:widowControl w:val="0"/>
        <w:rPr>
          <w:sz w:val="12"/>
          <w:szCs w:val="26"/>
        </w:rPr>
      </w:pPr>
    </w:p>
    <w:sectPr w:rsidR="009B1CF1" w:rsidRPr="00FC6052" w:rsidSect="009973E1">
      <w:footerReference w:type="default" r:id="rId10"/>
      <w:pgSz w:w="11906" w:h="16838" w:code="9"/>
      <w:pgMar w:top="851"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87" w:rsidRDefault="005B5587">
      <w:r>
        <w:separator/>
      </w:r>
    </w:p>
  </w:endnote>
  <w:endnote w:type="continuationSeparator" w:id="0">
    <w:p w:rsidR="005B5587" w:rsidRDefault="005B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E66FA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87" w:rsidRDefault="005B5587">
      <w:r>
        <w:separator/>
      </w:r>
    </w:p>
  </w:footnote>
  <w:footnote w:type="continuationSeparator" w:id="0">
    <w:p w:rsidR="005B5587" w:rsidRDefault="005B5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1FC"/>
    <w:rsid w:val="00012E90"/>
    <w:rsid w:val="000141D2"/>
    <w:rsid w:val="0001607D"/>
    <w:rsid w:val="00020AAB"/>
    <w:rsid w:val="0002133B"/>
    <w:rsid w:val="00021B80"/>
    <w:rsid w:val="0002379A"/>
    <w:rsid w:val="0002481D"/>
    <w:rsid w:val="00024D44"/>
    <w:rsid w:val="00025F4E"/>
    <w:rsid w:val="00032FC4"/>
    <w:rsid w:val="00036157"/>
    <w:rsid w:val="00043F04"/>
    <w:rsid w:val="0004418A"/>
    <w:rsid w:val="00046E4B"/>
    <w:rsid w:val="00047FB3"/>
    <w:rsid w:val="00050D4B"/>
    <w:rsid w:val="00055E66"/>
    <w:rsid w:val="00056763"/>
    <w:rsid w:val="00057715"/>
    <w:rsid w:val="00057959"/>
    <w:rsid w:val="00060241"/>
    <w:rsid w:val="000602A6"/>
    <w:rsid w:val="00062917"/>
    <w:rsid w:val="00062C30"/>
    <w:rsid w:val="000656A9"/>
    <w:rsid w:val="00066F3B"/>
    <w:rsid w:val="0007369C"/>
    <w:rsid w:val="00074311"/>
    <w:rsid w:val="00074E64"/>
    <w:rsid w:val="000813B5"/>
    <w:rsid w:val="00081F78"/>
    <w:rsid w:val="00082125"/>
    <w:rsid w:val="00083921"/>
    <w:rsid w:val="000851B0"/>
    <w:rsid w:val="0008546C"/>
    <w:rsid w:val="00085C02"/>
    <w:rsid w:val="00090918"/>
    <w:rsid w:val="00097E5D"/>
    <w:rsid w:val="000A4F27"/>
    <w:rsid w:val="000A5DAC"/>
    <w:rsid w:val="000A7613"/>
    <w:rsid w:val="000B1284"/>
    <w:rsid w:val="000B1EB5"/>
    <w:rsid w:val="000B6AB6"/>
    <w:rsid w:val="000B6E84"/>
    <w:rsid w:val="000C0B76"/>
    <w:rsid w:val="000C399E"/>
    <w:rsid w:val="000C445D"/>
    <w:rsid w:val="000C4FB7"/>
    <w:rsid w:val="000D0451"/>
    <w:rsid w:val="000D7BE8"/>
    <w:rsid w:val="000E0D4D"/>
    <w:rsid w:val="000E0F0B"/>
    <w:rsid w:val="000E3043"/>
    <w:rsid w:val="000E70CC"/>
    <w:rsid w:val="000F1246"/>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4C06"/>
    <w:rsid w:val="00146818"/>
    <w:rsid w:val="00146D3B"/>
    <w:rsid w:val="00150371"/>
    <w:rsid w:val="001504EB"/>
    <w:rsid w:val="00155B9A"/>
    <w:rsid w:val="001573DE"/>
    <w:rsid w:val="00161E21"/>
    <w:rsid w:val="00162601"/>
    <w:rsid w:val="00162671"/>
    <w:rsid w:val="00163362"/>
    <w:rsid w:val="00165397"/>
    <w:rsid w:val="00173ABB"/>
    <w:rsid w:val="00180E8B"/>
    <w:rsid w:val="0018197E"/>
    <w:rsid w:val="001870BA"/>
    <w:rsid w:val="00187BE2"/>
    <w:rsid w:val="00192A92"/>
    <w:rsid w:val="00194C3B"/>
    <w:rsid w:val="001A0AF2"/>
    <w:rsid w:val="001A3D89"/>
    <w:rsid w:val="001A42FD"/>
    <w:rsid w:val="001A533D"/>
    <w:rsid w:val="001A7EAB"/>
    <w:rsid w:val="001B05FF"/>
    <w:rsid w:val="001B1FBB"/>
    <w:rsid w:val="001B2261"/>
    <w:rsid w:val="001B4F75"/>
    <w:rsid w:val="001B5A4B"/>
    <w:rsid w:val="001B6DF0"/>
    <w:rsid w:val="001B719D"/>
    <w:rsid w:val="001D0203"/>
    <w:rsid w:val="001D1AD3"/>
    <w:rsid w:val="001D5D5A"/>
    <w:rsid w:val="001D77B0"/>
    <w:rsid w:val="001E05E0"/>
    <w:rsid w:val="001E2329"/>
    <w:rsid w:val="001E6580"/>
    <w:rsid w:val="001F2C75"/>
    <w:rsid w:val="001F551C"/>
    <w:rsid w:val="001F57B7"/>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4650B"/>
    <w:rsid w:val="00255B82"/>
    <w:rsid w:val="002561D5"/>
    <w:rsid w:val="002607D1"/>
    <w:rsid w:val="00261C8B"/>
    <w:rsid w:val="00262DDE"/>
    <w:rsid w:val="00265E89"/>
    <w:rsid w:val="00267762"/>
    <w:rsid w:val="002706F5"/>
    <w:rsid w:val="00270F37"/>
    <w:rsid w:val="00271DC3"/>
    <w:rsid w:val="002759FC"/>
    <w:rsid w:val="002775C4"/>
    <w:rsid w:val="002828F0"/>
    <w:rsid w:val="00283584"/>
    <w:rsid w:val="002845A9"/>
    <w:rsid w:val="0029023C"/>
    <w:rsid w:val="00292E3E"/>
    <w:rsid w:val="00296946"/>
    <w:rsid w:val="002A0C7F"/>
    <w:rsid w:val="002A13FC"/>
    <w:rsid w:val="002A32A0"/>
    <w:rsid w:val="002A3438"/>
    <w:rsid w:val="002A41E5"/>
    <w:rsid w:val="002A49A4"/>
    <w:rsid w:val="002A6973"/>
    <w:rsid w:val="002A75A9"/>
    <w:rsid w:val="002B1CFC"/>
    <w:rsid w:val="002B7793"/>
    <w:rsid w:val="002C127E"/>
    <w:rsid w:val="002C1BD0"/>
    <w:rsid w:val="002C3D78"/>
    <w:rsid w:val="002C55C9"/>
    <w:rsid w:val="002C58D9"/>
    <w:rsid w:val="002C7923"/>
    <w:rsid w:val="002D2A9D"/>
    <w:rsid w:val="002D7642"/>
    <w:rsid w:val="002D7725"/>
    <w:rsid w:val="002E0549"/>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3354"/>
    <w:rsid w:val="00356557"/>
    <w:rsid w:val="00357B34"/>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E1BEA"/>
    <w:rsid w:val="003F02DD"/>
    <w:rsid w:val="003F0E08"/>
    <w:rsid w:val="003F4949"/>
    <w:rsid w:val="003F694E"/>
    <w:rsid w:val="003F7704"/>
    <w:rsid w:val="00400F2B"/>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4D42"/>
    <w:rsid w:val="004856C1"/>
    <w:rsid w:val="004869DA"/>
    <w:rsid w:val="00486AE4"/>
    <w:rsid w:val="00491FB5"/>
    <w:rsid w:val="00492C9E"/>
    <w:rsid w:val="004A48C1"/>
    <w:rsid w:val="004A5903"/>
    <w:rsid w:val="004B0BF7"/>
    <w:rsid w:val="004B0EFD"/>
    <w:rsid w:val="004B1220"/>
    <w:rsid w:val="004B5FE6"/>
    <w:rsid w:val="004C00A5"/>
    <w:rsid w:val="004C0BD5"/>
    <w:rsid w:val="004C16ED"/>
    <w:rsid w:val="004C3BC3"/>
    <w:rsid w:val="004C627B"/>
    <w:rsid w:val="004D0C72"/>
    <w:rsid w:val="004D1633"/>
    <w:rsid w:val="004E05D6"/>
    <w:rsid w:val="004E412E"/>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4DA3"/>
    <w:rsid w:val="00595EEF"/>
    <w:rsid w:val="005A2B0C"/>
    <w:rsid w:val="005A5015"/>
    <w:rsid w:val="005A5EF9"/>
    <w:rsid w:val="005B2776"/>
    <w:rsid w:val="005B5587"/>
    <w:rsid w:val="005B56C7"/>
    <w:rsid w:val="005B7020"/>
    <w:rsid w:val="005C3185"/>
    <w:rsid w:val="005C3E5E"/>
    <w:rsid w:val="005C3EFA"/>
    <w:rsid w:val="005C4EDC"/>
    <w:rsid w:val="005C558A"/>
    <w:rsid w:val="005C6909"/>
    <w:rsid w:val="005D4435"/>
    <w:rsid w:val="005D53F1"/>
    <w:rsid w:val="005D67FC"/>
    <w:rsid w:val="005D76DF"/>
    <w:rsid w:val="005F3E1E"/>
    <w:rsid w:val="005F5251"/>
    <w:rsid w:val="006009CF"/>
    <w:rsid w:val="00605DA0"/>
    <w:rsid w:val="006132E1"/>
    <w:rsid w:val="00614356"/>
    <w:rsid w:val="00617D51"/>
    <w:rsid w:val="006208B2"/>
    <w:rsid w:val="006229AD"/>
    <w:rsid w:val="00627FA4"/>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2513"/>
    <w:rsid w:val="00696055"/>
    <w:rsid w:val="006977C3"/>
    <w:rsid w:val="00697878"/>
    <w:rsid w:val="00697B87"/>
    <w:rsid w:val="006A123B"/>
    <w:rsid w:val="006A1C4A"/>
    <w:rsid w:val="006A1F4B"/>
    <w:rsid w:val="006A3379"/>
    <w:rsid w:val="006A3E9C"/>
    <w:rsid w:val="006A7C12"/>
    <w:rsid w:val="006B2DF4"/>
    <w:rsid w:val="006B3338"/>
    <w:rsid w:val="006B4BD6"/>
    <w:rsid w:val="006C1EA4"/>
    <w:rsid w:val="006C42FF"/>
    <w:rsid w:val="006C7616"/>
    <w:rsid w:val="006D3AB3"/>
    <w:rsid w:val="006D3B5D"/>
    <w:rsid w:val="006E15E5"/>
    <w:rsid w:val="006E6DB5"/>
    <w:rsid w:val="006F1D60"/>
    <w:rsid w:val="006F1FD2"/>
    <w:rsid w:val="006F2CFC"/>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2558"/>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2578"/>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4C76"/>
    <w:rsid w:val="008D5BEC"/>
    <w:rsid w:val="008D7A57"/>
    <w:rsid w:val="008E36A9"/>
    <w:rsid w:val="008E3712"/>
    <w:rsid w:val="008E399A"/>
    <w:rsid w:val="008E51CC"/>
    <w:rsid w:val="008E5D0F"/>
    <w:rsid w:val="008F038F"/>
    <w:rsid w:val="008F182A"/>
    <w:rsid w:val="008F3ADC"/>
    <w:rsid w:val="008F41BE"/>
    <w:rsid w:val="008F4DF9"/>
    <w:rsid w:val="008F67F8"/>
    <w:rsid w:val="008F6B41"/>
    <w:rsid w:val="008F6B5C"/>
    <w:rsid w:val="00901596"/>
    <w:rsid w:val="009015C6"/>
    <w:rsid w:val="00902F4E"/>
    <w:rsid w:val="00903C2F"/>
    <w:rsid w:val="00903E03"/>
    <w:rsid w:val="00904AAB"/>
    <w:rsid w:val="00907FFA"/>
    <w:rsid w:val="00911637"/>
    <w:rsid w:val="00914ECD"/>
    <w:rsid w:val="00916BE3"/>
    <w:rsid w:val="00922D00"/>
    <w:rsid w:val="00922D30"/>
    <w:rsid w:val="009257A9"/>
    <w:rsid w:val="0092667C"/>
    <w:rsid w:val="009269B5"/>
    <w:rsid w:val="00930CD8"/>
    <w:rsid w:val="009320AA"/>
    <w:rsid w:val="00937951"/>
    <w:rsid w:val="009442BE"/>
    <w:rsid w:val="00944BC9"/>
    <w:rsid w:val="00945D2F"/>
    <w:rsid w:val="00946CEA"/>
    <w:rsid w:val="00956F10"/>
    <w:rsid w:val="00961BA5"/>
    <w:rsid w:val="00963C1E"/>
    <w:rsid w:val="00964EF5"/>
    <w:rsid w:val="009673C3"/>
    <w:rsid w:val="00982D15"/>
    <w:rsid w:val="009863D7"/>
    <w:rsid w:val="00987277"/>
    <w:rsid w:val="00987A06"/>
    <w:rsid w:val="00990F9F"/>
    <w:rsid w:val="009912F4"/>
    <w:rsid w:val="00992105"/>
    <w:rsid w:val="009971B4"/>
    <w:rsid w:val="009973E1"/>
    <w:rsid w:val="009974E3"/>
    <w:rsid w:val="009979BE"/>
    <w:rsid w:val="009A17FD"/>
    <w:rsid w:val="009A2EF6"/>
    <w:rsid w:val="009A4E47"/>
    <w:rsid w:val="009A6931"/>
    <w:rsid w:val="009A6B16"/>
    <w:rsid w:val="009B1CF1"/>
    <w:rsid w:val="009B2182"/>
    <w:rsid w:val="009B2C62"/>
    <w:rsid w:val="009B541B"/>
    <w:rsid w:val="009B5590"/>
    <w:rsid w:val="009B5982"/>
    <w:rsid w:val="009C04F8"/>
    <w:rsid w:val="009C184E"/>
    <w:rsid w:val="009C4D8E"/>
    <w:rsid w:val="009C60EB"/>
    <w:rsid w:val="009D0003"/>
    <w:rsid w:val="009D02A5"/>
    <w:rsid w:val="009D1F70"/>
    <w:rsid w:val="009D3C02"/>
    <w:rsid w:val="009D428D"/>
    <w:rsid w:val="009D48BD"/>
    <w:rsid w:val="009D4BD9"/>
    <w:rsid w:val="009D7633"/>
    <w:rsid w:val="009E5C35"/>
    <w:rsid w:val="009E6E2D"/>
    <w:rsid w:val="009E790D"/>
    <w:rsid w:val="009F090C"/>
    <w:rsid w:val="009F0967"/>
    <w:rsid w:val="009F1033"/>
    <w:rsid w:val="009F3FAA"/>
    <w:rsid w:val="009F42B1"/>
    <w:rsid w:val="009F5176"/>
    <w:rsid w:val="009F672B"/>
    <w:rsid w:val="00A02E46"/>
    <w:rsid w:val="00A102B6"/>
    <w:rsid w:val="00A12521"/>
    <w:rsid w:val="00A1588F"/>
    <w:rsid w:val="00A25119"/>
    <w:rsid w:val="00A26236"/>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E2558"/>
    <w:rsid w:val="00AF2401"/>
    <w:rsid w:val="00AF4177"/>
    <w:rsid w:val="00AF4C69"/>
    <w:rsid w:val="00AF4EE5"/>
    <w:rsid w:val="00AF5BC4"/>
    <w:rsid w:val="00B02E8D"/>
    <w:rsid w:val="00B031E7"/>
    <w:rsid w:val="00B0617A"/>
    <w:rsid w:val="00B12CD1"/>
    <w:rsid w:val="00B229A4"/>
    <w:rsid w:val="00B22B20"/>
    <w:rsid w:val="00B23A36"/>
    <w:rsid w:val="00B25010"/>
    <w:rsid w:val="00B2540D"/>
    <w:rsid w:val="00B332E2"/>
    <w:rsid w:val="00B35ECD"/>
    <w:rsid w:val="00B377BF"/>
    <w:rsid w:val="00B41737"/>
    <w:rsid w:val="00B4315B"/>
    <w:rsid w:val="00B452F6"/>
    <w:rsid w:val="00B46585"/>
    <w:rsid w:val="00B50689"/>
    <w:rsid w:val="00B5116F"/>
    <w:rsid w:val="00B6258B"/>
    <w:rsid w:val="00B6499C"/>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677A"/>
    <w:rsid w:val="00C054C8"/>
    <w:rsid w:val="00C10846"/>
    <w:rsid w:val="00C14112"/>
    <w:rsid w:val="00C204F0"/>
    <w:rsid w:val="00C22F41"/>
    <w:rsid w:val="00C242A2"/>
    <w:rsid w:val="00C249D2"/>
    <w:rsid w:val="00C40593"/>
    <w:rsid w:val="00C41096"/>
    <w:rsid w:val="00C45775"/>
    <w:rsid w:val="00C50232"/>
    <w:rsid w:val="00C51BD7"/>
    <w:rsid w:val="00C531A3"/>
    <w:rsid w:val="00C53C01"/>
    <w:rsid w:val="00C55004"/>
    <w:rsid w:val="00C55047"/>
    <w:rsid w:val="00C5525C"/>
    <w:rsid w:val="00C5791C"/>
    <w:rsid w:val="00C579BC"/>
    <w:rsid w:val="00C6427D"/>
    <w:rsid w:val="00C6754F"/>
    <w:rsid w:val="00C72827"/>
    <w:rsid w:val="00C72ECA"/>
    <w:rsid w:val="00C73259"/>
    <w:rsid w:val="00C73CAE"/>
    <w:rsid w:val="00C73CC5"/>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CF6E31"/>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3AD5"/>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3FDD"/>
    <w:rsid w:val="00DF408D"/>
    <w:rsid w:val="00DF59EB"/>
    <w:rsid w:val="00DF6596"/>
    <w:rsid w:val="00E00A80"/>
    <w:rsid w:val="00E00F78"/>
    <w:rsid w:val="00E015C9"/>
    <w:rsid w:val="00E01F80"/>
    <w:rsid w:val="00E03E80"/>
    <w:rsid w:val="00E05EB4"/>
    <w:rsid w:val="00E10013"/>
    <w:rsid w:val="00E12B18"/>
    <w:rsid w:val="00E12CEB"/>
    <w:rsid w:val="00E13C5A"/>
    <w:rsid w:val="00E13D20"/>
    <w:rsid w:val="00E1644C"/>
    <w:rsid w:val="00E2065A"/>
    <w:rsid w:val="00E20C2F"/>
    <w:rsid w:val="00E21F79"/>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66FA2"/>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5B6D"/>
    <w:rsid w:val="00EF6B92"/>
    <w:rsid w:val="00F0230D"/>
    <w:rsid w:val="00F02859"/>
    <w:rsid w:val="00F043CD"/>
    <w:rsid w:val="00F05D12"/>
    <w:rsid w:val="00F10DEB"/>
    <w:rsid w:val="00F10F84"/>
    <w:rsid w:val="00F12F6F"/>
    <w:rsid w:val="00F15D18"/>
    <w:rsid w:val="00F17D37"/>
    <w:rsid w:val="00F204C1"/>
    <w:rsid w:val="00F210B1"/>
    <w:rsid w:val="00F214B1"/>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1193"/>
    <w:rsid w:val="00F7159A"/>
    <w:rsid w:val="00F725F7"/>
    <w:rsid w:val="00F81A3B"/>
    <w:rsid w:val="00F81C3B"/>
    <w:rsid w:val="00F924AC"/>
    <w:rsid w:val="00F939DB"/>
    <w:rsid w:val="00F97685"/>
    <w:rsid w:val="00F979F4"/>
    <w:rsid w:val="00FA1520"/>
    <w:rsid w:val="00FA3261"/>
    <w:rsid w:val="00FA57DA"/>
    <w:rsid w:val="00FA5B67"/>
    <w:rsid w:val="00FA6D99"/>
    <w:rsid w:val="00FA746B"/>
    <w:rsid w:val="00FA7E5A"/>
    <w:rsid w:val="00FA7FCB"/>
    <w:rsid w:val="00FB39DC"/>
    <w:rsid w:val="00FB3B40"/>
    <w:rsid w:val="00FB5788"/>
    <w:rsid w:val="00FC317A"/>
    <w:rsid w:val="00FC42D6"/>
    <w:rsid w:val="00FC6052"/>
    <w:rsid w:val="00FC6C94"/>
    <w:rsid w:val="00FE08E6"/>
    <w:rsid w:val="00FE1F04"/>
    <w:rsid w:val="00FE366F"/>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BFD5-14DD-43D4-8CFC-66B019FB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Pages>
  <Words>1503</Words>
  <Characters>7851</Characters>
  <Application>Microsoft Office Word</Application>
  <DocSecurity>0</DocSecurity>
  <Lines>206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306</cp:revision>
  <cp:lastPrinted>2020-03-18T11:23:00Z</cp:lastPrinted>
  <dcterms:created xsi:type="dcterms:W3CDTF">2020-05-29T06:00:00Z</dcterms:created>
  <dcterms:modified xsi:type="dcterms:W3CDTF">2020-12-28T16:08:00Z</dcterms:modified>
</cp:coreProperties>
</file>